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spacing w:after="80" w:before="0"/>
        <w:jc w:val="center"/>
      </w:pPr>
      <w:r>
        <w:rPr>
          <w:rFonts w:ascii="Calibri" w:hAnsi="Calibri"/>
          <w:b/>
          <w:i w:val="0"/>
          <w:color w:val="333333"/>
          <w:sz w:val="56"/>
        </w:rPr>
        <w:t>Cannabinoid Therapeutics</w:t>
      </w:r>
    </w:p>
    <w:p>
      <w:pPr>
        <w:spacing w:after="240" w:before="0"/>
        <w:jc w:val="center"/>
      </w:pPr>
      <w:r>
        <w:rPr>
          <w:rFonts w:ascii="Calibri" w:hAnsi="Calibri"/>
          <w:b w:val="0"/>
          <w:i w:val="0"/>
          <w:color w:val="555555"/>
          <w:sz w:val="32"/>
        </w:rPr>
        <w:t>Clinical Evidence Reference for UK Prescribers</w:t>
      </w:r>
    </w:p>
    <w:p>
      <w:pPr>
        <w:spacing w:after="400" w:before="0"/>
        <w:jc w:val="center"/>
      </w:pPr>
      <w:r>
        <w:rPr>
          <w:rFonts w:ascii="Calibri" w:hAnsi="Calibri"/>
          <w:b w:val="0"/>
          <w:i/>
          <w:color w:val="999999"/>
          <w:sz w:val="20"/>
        </w:rPr>
        <w:t>Working draft, non-promotional, for clinical decision-making under MHRA Specials and licensed-medicine pathways.</w:t>
      </w:r>
    </w:p>
    <w:p>
      <w:pPr>
        <w:spacing w:after="80" w:before="0"/>
        <w:jc w:val="center"/>
      </w:pPr>
      <w:r>
        <w:rPr>
          <w:rFonts w:ascii="Calibri" w:hAnsi="Calibri"/>
          <w:b w:val="0"/>
          <w:i w:val="0"/>
          <w:color w:val="999999"/>
          <w:sz w:val="20"/>
        </w:rPr>
        <w:t>Version 1.0  |  27 April 2026</w:t>
      </w:r>
    </w:p>
    <w:p>
      <w:r>
        <w:br w:type="page"/>
      </w:r>
    </w:p>
    <w:p>
      <w:pPr>
        <w:spacing w:after="160" w:before="0"/>
      </w:pPr>
      <w:r>
        <w:rPr>
          <w:rFonts w:ascii="Calibri" w:hAnsi="Calibri"/>
          <w:b/>
          <w:i w:val="0"/>
          <w:color w:val="333333"/>
          <w:sz w:val="28"/>
        </w:rPr>
        <w:t>Section 1: How to Use This Reference</w:t>
      </w:r>
    </w:p>
    <w:p>
      <w:pPr>
        <w:spacing w:after="120" w:before="0"/>
      </w:pPr>
      <w:r>
        <w:rPr>
          <w:rFonts w:ascii="Calibri" w:hAnsi="Calibri"/>
          <w:b w:val="0"/>
          <w:i w:val="0"/>
          <w:sz w:val="20"/>
        </w:rPr>
        <w:t>This reference summarises the clinical evidence base for cannabidiol (CBD) and tetrahydrocannabinol (THC) across the principal indications where cannabinoid therapies are considered in UK practice. It identifies, for each indication, which molecule has the prevailing evidence, the strength of that evidence, and any UK-licensed product available.</w:t>
      </w:r>
    </w:p>
    <w:p>
      <w:pPr>
        <w:spacing w:after="120" w:before="0"/>
      </w:pPr>
      <w:r>
        <w:rPr>
          <w:rFonts w:ascii="Calibri" w:hAnsi="Calibri"/>
          <w:b w:val="0"/>
          <w:i w:val="0"/>
          <w:sz w:val="20"/>
        </w:rPr>
        <w:t>It is intended to support prescriber decision-making, not to recommend treatment. Individual prescribing decisions remain the responsibility of the treating clinician and must consider patient-specific factors, contraindications, and licensing status.</w:t>
      </w:r>
    </w:p>
    <w:p>
      <w:pPr>
        <w:spacing w:after="240" w:before="0"/>
      </w:pPr>
      <w:r>
        <w:rPr>
          <w:rFonts w:ascii="Calibri" w:hAnsi="Calibri"/>
          <w:b w:val="0"/>
          <w:i/>
          <w:color w:val="555555"/>
          <w:sz w:val="20"/>
        </w:rPr>
        <w:t>References require independent verification before clinical or regulatory submission.</w:t>
      </w:r>
    </w:p>
    <w:p>
      <w:pPr>
        <w:spacing w:after="160" w:before="0"/>
      </w:pPr>
      <w:r>
        <w:rPr>
          <w:rFonts w:ascii="Calibri" w:hAnsi="Calibri"/>
          <w:b/>
          <w:i w:val="0"/>
          <w:color w:val="333333"/>
          <w:sz w:val="28"/>
        </w:rPr>
        <w:t>Section 2: Evidence Grading</w:t>
      </w:r>
    </w:p>
    <w:tbl>
      <w:tblPr>
        <w:tblStyle w:val="TableGrid"/>
        <w:tblW w:type="auto" w:w="0"/>
        <w:jc w:val="center"/>
        <w:tblLook w:firstColumn="1" w:firstRow="1" w:lastColumn="0" w:lastRow="0" w:noHBand="0" w:noVBand="1" w:val="04A0"/>
      </w:tblPr>
      <w:tblGrid>
        <w:gridCol w:w="4986"/>
        <w:gridCol w:w="4986"/>
      </w:tblGrid>
      <w:tr>
        <w:tc>
          <w:tcPr>
            <w:tcW w:type="dxa" w:w="1134"/>
            <w:shd w:fill="333333" w:val="clear"/>
          </w:tcPr>
          <w:p>
            <w:r/>
            <w:r>
              <w:rPr>
                <w:rFonts w:ascii="Calibri" w:hAnsi="Calibri"/>
                <w:b/>
                <w:color w:val="FFFFFF"/>
                <w:sz w:val="18"/>
              </w:rPr>
              <w:t>Level</w:t>
            </w:r>
          </w:p>
        </w:tc>
        <w:tc>
          <w:tcPr>
            <w:tcW w:type="dxa" w:w="7937"/>
            <w:shd w:fill="333333" w:val="clear"/>
          </w:tcPr>
          <w:p>
            <w:r/>
            <w:r>
              <w:rPr>
                <w:rFonts w:ascii="Calibri" w:hAnsi="Calibri"/>
                <w:b/>
                <w:color w:val="FFFFFF"/>
                <w:sz w:val="18"/>
              </w:rPr>
              <w:t>Description</w:t>
            </w:r>
          </w:p>
        </w:tc>
      </w:tr>
      <w:tr>
        <w:tc>
          <w:tcPr>
            <w:tcW w:type="dxa" w:w="1134"/>
          </w:tcPr>
          <w:p>
            <w:pPr>
              <w:jc w:val="center"/>
            </w:pPr>
            <w:r/>
            <w:r>
              <w:rPr>
                <w:rFonts w:ascii="Calibri" w:hAnsi="Calibri"/>
                <w:b/>
                <w:sz w:val="18"/>
              </w:rPr>
              <w:t>1</w:t>
            </w:r>
          </w:p>
        </w:tc>
        <w:tc>
          <w:tcPr>
            <w:tcW w:type="dxa" w:w="7937"/>
          </w:tcPr>
          <w:p>
            <w:r/>
            <w:r>
              <w:rPr>
                <w:rFonts w:ascii="Calibri" w:hAnsi="Calibri"/>
                <w:sz w:val="18"/>
              </w:rPr>
              <w:t>Multiple Phase 3 RCTs and/or regulatory approval in the indication</w:t>
            </w:r>
          </w:p>
        </w:tc>
      </w:tr>
      <w:tr>
        <w:tc>
          <w:tcPr>
            <w:tcW w:type="dxa" w:w="1134"/>
          </w:tcPr>
          <w:p>
            <w:pPr>
              <w:jc w:val="center"/>
            </w:pPr>
            <w:r/>
            <w:r>
              <w:rPr>
                <w:rFonts w:ascii="Calibri" w:hAnsi="Calibri"/>
                <w:b/>
                <w:sz w:val="18"/>
              </w:rPr>
              <w:t>2</w:t>
            </w:r>
          </w:p>
        </w:tc>
        <w:tc>
          <w:tcPr>
            <w:tcW w:type="dxa" w:w="7937"/>
          </w:tcPr>
          <w:p>
            <w:r/>
            <w:r>
              <w:rPr>
                <w:rFonts w:ascii="Calibri" w:hAnsi="Calibri"/>
                <w:sz w:val="18"/>
              </w:rPr>
              <w:t>Single adequately powered Phase 3 RCT</w:t>
            </w:r>
          </w:p>
        </w:tc>
      </w:tr>
      <w:tr>
        <w:tc>
          <w:tcPr>
            <w:tcW w:type="dxa" w:w="1134"/>
          </w:tcPr>
          <w:p>
            <w:pPr>
              <w:jc w:val="center"/>
            </w:pPr>
            <w:r/>
            <w:r>
              <w:rPr>
                <w:rFonts w:ascii="Calibri" w:hAnsi="Calibri"/>
                <w:b/>
                <w:sz w:val="18"/>
              </w:rPr>
              <w:t>3</w:t>
            </w:r>
          </w:p>
        </w:tc>
        <w:tc>
          <w:tcPr>
            <w:tcW w:type="dxa" w:w="7937"/>
          </w:tcPr>
          <w:p>
            <w:r/>
            <w:r>
              <w:rPr>
                <w:rFonts w:ascii="Calibri" w:hAnsi="Calibri"/>
                <w:sz w:val="18"/>
              </w:rPr>
              <w:t>Phase 2 RCT(s), or meta-analysis of moderate-quality trials</w:t>
            </w:r>
          </w:p>
        </w:tc>
      </w:tr>
      <w:tr>
        <w:tc>
          <w:tcPr>
            <w:tcW w:type="dxa" w:w="1134"/>
          </w:tcPr>
          <w:p>
            <w:pPr>
              <w:jc w:val="center"/>
            </w:pPr>
            <w:r/>
            <w:r>
              <w:rPr>
                <w:rFonts w:ascii="Calibri" w:hAnsi="Calibri"/>
                <w:b/>
                <w:sz w:val="18"/>
              </w:rPr>
              <w:t>4</w:t>
            </w:r>
          </w:p>
        </w:tc>
        <w:tc>
          <w:tcPr>
            <w:tcW w:type="dxa" w:w="7937"/>
          </w:tcPr>
          <w:p>
            <w:r/>
            <w:r>
              <w:rPr>
                <w:rFonts w:ascii="Calibri" w:hAnsi="Calibri"/>
                <w:sz w:val="18"/>
              </w:rPr>
              <w:t>Open-label, observational cohort, or single small RCT</w:t>
            </w:r>
          </w:p>
        </w:tc>
      </w:tr>
      <w:tr>
        <w:tc>
          <w:tcPr>
            <w:tcW w:type="dxa" w:w="1134"/>
          </w:tcPr>
          <w:p>
            <w:pPr>
              <w:jc w:val="center"/>
            </w:pPr>
            <w:r/>
            <w:r>
              <w:rPr>
                <w:rFonts w:ascii="Calibri" w:hAnsi="Calibri"/>
                <w:b/>
                <w:sz w:val="18"/>
              </w:rPr>
              <w:t>5</w:t>
            </w:r>
          </w:p>
        </w:tc>
        <w:tc>
          <w:tcPr>
            <w:tcW w:type="dxa" w:w="7937"/>
          </w:tcPr>
          <w:p>
            <w:r/>
            <w:r>
              <w:rPr>
                <w:rFonts w:ascii="Calibri" w:hAnsi="Calibri"/>
                <w:sz w:val="18"/>
              </w:rPr>
              <w:t>Preclinical or mechanistic only</w:t>
            </w:r>
          </w:p>
        </w:tc>
      </w:tr>
    </w:tbl>
    <w:p>
      <w:pPr>
        <w:spacing w:after="160" w:before="0"/>
      </w:pPr>
      <w:r>
        <w:rPr>
          <w:rFonts w:ascii="Calibri" w:hAnsi="Calibri"/>
          <w:b w:val="0"/>
          <w:i w:val="0"/>
          <w:sz w:val="20"/>
        </w:rPr>
      </w:r>
    </w:p>
    <w:p>
      <w:pPr>
        <w:spacing w:after="160" w:before="0"/>
      </w:pPr>
      <w:r>
        <w:rPr>
          <w:rFonts w:ascii="Calibri" w:hAnsi="Calibri"/>
          <w:b/>
          <w:i w:val="0"/>
          <w:color w:val="333333"/>
          <w:sz w:val="28"/>
        </w:rPr>
        <w:t>Section 3: Master Evidence Matrix</w:t>
      </w:r>
    </w:p>
    <w:tbl>
      <w:tblPr>
        <w:tblStyle w:val="TableGrid"/>
        <w:tblW w:type="auto" w:w="0"/>
        <w:jc w:val="center"/>
        <w:tblLook w:firstColumn="1" w:firstRow="1" w:lastColumn="0" w:lastRow="0" w:noHBand="0" w:noVBand="1" w:val="04A0"/>
      </w:tblPr>
      <w:tblGrid>
        <w:gridCol w:w="1994"/>
        <w:gridCol w:w="1994"/>
        <w:gridCol w:w="1994"/>
        <w:gridCol w:w="1994"/>
        <w:gridCol w:w="1994"/>
      </w:tblGrid>
      <w:tr>
        <w:tc>
          <w:tcPr>
            <w:tcW w:type="dxa" w:w="2551"/>
            <w:shd w:fill="333333" w:val="clear"/>
          </w:tcPr>
          <w:p>
            <w:r/>
            <w:r>
              <w:rPr>
                <w:rFonts w:ascii="Calibri" w:hAnsi="Calibri"/>
                <w:b/>
                <w:color w:val="FFFFFF"/>
                <w:sz w:val="16"/>
              </w:rPr>
              <w:t>Indication</w:t>
            </w:r>
          </w:p>
        </w:tc>
        <w:tc>
          <w:tcPr>
            <w:tcW w:type="dxa" w:w="1984"/>
            <w:shd w:fill="333333" w:val="clear"/>
          </w:tcPr>
          <w:p>
            <w:r/>
            <w:r>
              <w:rPr>
                <w:rFonts w:ascii="Calibri" w:hAnsi="Calibri"/>
                <w:b/>
                <w:color w:val="FFFFFF"/>
                <w:sz w:val="16"/>
              </w:rPr>
              <w:t>Prevailing molecule</w:t>
            </w:r>
          </w:p>
        </w:tc>
        <w:tc>
          <w:tcPr>
            <w:tcW w:type="dxa" w:w="1134"/>
            <w:shd w:fill="333333" w:val="clear"/>
          </w:tcPr>
          <w:p>
            <w:r/>
            <w:r>
              <w:rPr>
                <w:rFonts w:ascii="Calibri" w:hAnsi="Calibri"/>
                <w:b/>
                <w:color w:val="FFFFFF"/>
                <w:sz w:val="16"/>
              </w:rPr>
              <w:t>Evidence level</w:t>
            </w:r>
          </w:p>
        </w:tc>
        <w:tc>
          <w:tcPr>
            <w:tcW w:type="dxa" w:w="1984"/>
            <w:shd w:fill="333333" w:val="clear"/>
          </w:tcPr>
          <w:p>
            <w:r/>
            <w:r>
              <w:rPr>
                <w:rFonts w:ascii="Calibri" w:hAnsi="Calibri"/>
                <w:b/>
                <w:color w:val="FFFFFF"/>
                <w:sz w:val="16"/>
              </w:rPr>
              <w:t>UK licensed product</w:t>
            </w:r>
          </w:p>
        </w:tc>
        <w:tc>
          <w:tcPr>
            <w:tcW w:type="dxa" w:w="1417"/>
            <w:shd w:fill="333333" w:val="clear"/>
          </w:tcPr>
          <w:p>
            <w:r/>
            <w:r>
              <w:rPr>
                <w:rFonts w:ascii="Calibri" w:hAnsi="Calibri"/>
                <w:b/>
                <w:color w:val="FFFFFF"/>
                <w:sz w:val="16"/>
              </w:rPr>
              <w:t>Key refs</w:t>
            </w:r>
          </w:p>
        </w:tc>
      </w:tr>
      <w:tr>
        <w:tc>
          <w:tcPr>
            <w:tcW w:type="dxa" w:w="2551"/>
            <w:tcBorders>
              <w:left w:val="single" w:sz="18" w:space="0" w:color="0F766E"/>
            </w:tcBorders>
          </w:tcPr>
          <w:p>
            <w:r/>
            <w:r>
              <w:rPr>
                <w:rFonts w:ascii="Calibri" w:hAnsi="Calibri"/>
                <w:sz w:val="16"/>
              </w:rPr>
              <w:t>Dravet syndrome</w:t>
            </w:r>
          </w:p>
        </w:tc>
        <w:tc>
          <w:tcPr>
            <w:tcW w:type="dxa" w:w="1984"/>
          </w:tcPr>
          <w:p>
            <w:r/>
            <w:r>
              <w:rPr>
                <w:rFonts w:ascii="Calibri" w:hAnsi="Calibri"/>
                <w:sz w:val="16"/>
              </w:rPr>
              <w:t>CBD</w:t>
            </w:r>
          </w:p>
        </w:tc>
        <w:tc>
          <w:tcPr>
            <w:tcW w:type="dxa" w:w="1134"/>
          </w:tcPr>
          <w:p>
            <w:r/>
            <w:r>
              <w:rPr>
                <w:rFonts w:ascii="Calibri" w:hAnsi="Calibri"/>
                <w:sz w:val="16"/>
              </w:rPr>
              <w:t>1</w:t>
            </w:r>
          </w:p>
        </w:tc>
        <w:tc>
          <w:tcPr>
            <w:tcW w:type="dxa" w:w="1984"/>
          </w:tcPr>
          <w:p>
            <w:r/>
            <w:r>
              <w:rPr>
                <w:rFonts w:ascii="Calibri" w:hAnsi="Calibri"/>
                <w:sz w:val="16"/>
              </w:rPr>
              <w:t>Epidyolex</w:t>
            </w:r>
          </w:p>
        </w:tc>
        <w:tc>
          <w:tcPr>
            <w:tcW w:type="dxa" w:w="1417"/>
          </w:tcPr>
          <w:p>
            <w:r/>
            <w:r>
              <w:rPr>
                <w:rFonts w:ascii="Calibri" w:hAnsi="Calibri"/>
                <w:sz w:val="16"/>
              </w:rPr>
              <w:t>1, 2, 3, 4</w:t>
            </w:r>
          </w:p>
        </w:tc>
      </w:tr>
      <w:tr>
        <w:tc>
          <w:tcPr>
            <w:tcW w:type="dxa" w:w="2551"/>
            <w:tcBorders>
              <w:left w:val="single" w:sz="18" w:space="0" w:color="0F766E"/>
            </w:tcBorders>
          </w:tcPr>
          <w:p>
            <w:r/>
            <w:r>
              <w:rPr>
                <w:rFonts w:ascii="Calibri" w:hAnsi="Calibri"/>
                <w:sz w:val="16"/>
              </w:rPr>
              <w:t>Lennox-Gastaut syndrome</w:t>
            </w:r>
          </w:p>
        </w:tc>
        <w:tc>
          <w:tcPr>
            <w:tcW w:type="dxa" w:w="1984"/>
          </w:tcPr>
          <w:p>
            <w:r/>
            <w:r>
              <w:rPr>
                <w:rFonts w:ascii="Calibri" w:hAnsi="Calibri"/>
                <w:sz w:val="16"/>
              </w:rPr>
              <w:t>CBD</w:t>
            </w:r>
          </w:p>
        </w:tc>
        <w:tc>
          <w:tcPr>
            <w:tcW w:type="dxa" w:w="1134"/>
          </w:tcPr>
          <w:p>
            <w:r/>
            <w:r>
              <w:rPr>
                <w:rFonts w:ascii="Calibri" w:hAnsi="Calibri"/>
                <w:sz w:val="16"/>
              </w:rPr>
              <w:t>1</w:t>
            </w:r>
          </w:p>
        </w:tc>
        <w:tc>
          <w:tcPr>
            <w:tcW w:type="dxa" w:w="1984"/>
          </w:tcPr>
          <w:p>
            <w:r/>
            <w:r>
              <w:rPr>
                <w:rFonts w:ascii="Calibri" w:hAnsi="Calibri"/>
                <w:sz w:val="16"/>
              </w:rPr>
              <w:t>Epidyolex</w:t>
            </w:r>
          </w:p>
        </w:tc>
        <w:tc>
          <w:tcPr>
            <w:tcW w:type="dxa" w:w="1417"/>
          </w:tcPr>
          <w:p>
            <w:r/>
            <w:r>
              <w:rPr>
                <w:rFonts w:ascii="Calibri" w:hAnsi="Calibri"/>
                <w:sz w:val="16"/>
              </w:rPr>
              <w:t>1, 2, 3, 4</w:t>
            </w:r>
          </w:p>
        </w:tc>
      </w:tr>
      <w:tr>
        <w:tc>
          <w:tcPr>
            <w:tcW w:type="dxa" w:w="2551"/>
            <w:tcBorders>
              <w:left w:val="single" w:sz="18" w:space="0" w:color="0F766E"/>
            </w:tcBorders>
          </w:tcPr>
          <w:p>
            <w:r/>
            <w:r>
              <w:rPr>
                <w:rFonts w:ascii="Calibri" w:hAnsi="Calibri"/>
                <w:sz w:val="16"/>
              </w:rPr>
              <w:t>Tuberous sclerosis complex</w:t>
            </w:r>
          </w:p>
        </w:tc>
        <w:tc>
          <w:tcPr>
            <w:tcW w:type="dxa" w:w="1984"/>
          </w:tcPr>
          <w:p>
            <w:r/>
            <w:r>
              <w:rPr>
                <w:rFonts w:ascii="Calibri" w:hAnsi="Calibri"/>
                <w:sz w:val="16"/>
              </w:rPr>
              <w:t>CBD</w:t>
            </w:r>
          </w:p>
        </w:tc>
        <w:tc>
          <w:tcPr>
            <w:tcW w:type="dxa" w:w="1134"/>
          </w:tcPr>
          <w:p>
            <w:r/>
            <w:r>
              <w:rPr>
                <w:rFonts w:ascii="Calibri" w:hAnsi="Calibri"/>
                <w:sz w:val="16"/>
              </w:rPr>
              <w:t>1</w:t>
            </w:r>
          </w:p>
        </w:tc>
        <w:tc>
          <w:tcPr>
            <w:tcW w:type="dxa" w:w="1984"/>
          </w:tcPr>
          <w:p>
            <w:r/>
            <w:r>
              <w:rPr>
                <w:rFonts w:ascii="Calibri" w:hAnsi="Calibri"/>
                <w:sz w:val="16"/>
              </w:rPr>
              <w:t>Epidyolex</w:t>
            </w:r>
          </w:p>
        </w:tc>
        <w:tc>
          <w:tcPr>
            <w:tcW w:type="dxa" w:w="1417"/>
          </w:tcPr>
          <w:p>
            <w:r/>
            <w:r>
              <w:rPr>
                <w:rFonts w:ascii="Calibri" w:hAnsi="Calibri"/>
                <w:sz w:val="16"/>
              </w:rPr>
              <w:t>3, 4</w:t>
            </w:r>
          </w:p>
        </w:tc>
      </w:tr>
      <w:tr>
        <w:tc>
          <w:tcPr>
            <w:tcW w:type="dxa" w:w="2551"/>
            <w:tcBorders>
              <w:left w:val="single" w:sz="18" w:space="0" w:color="4338CA"/>
            </w:tcBorders>
          </w:tcPr>
          <w:p>
            <w:r/>
            <w:r>
              <w:rPr>
                <w:rFonts w:ascii="Calibri" w:hAnsi="Calibri"/>
                <w:sz w:val="16"/>
              </w:rPr>
              <w:t>MS-related spasticity</w:t>
            </w:r>
          </w:p>
        </w:tc>
        <w:tc>
          <w:tcPr>
            <w:tcW w:type="dxa" w:w="1984"/>
          </w:tcPr>
          <w:p>
            <w:r/>
            <w:r>
              <w:rPr>
                <w:rFonts w:ascii="Calibri" w:hAnsi="Calibri"/>
                <w:sz w:val="16"/>
              </w:rPr>
              <w:t>CBD : THC (1:1)</w:t>
            </w:r>
          </w:p>
        </w:tc>
        <w:tc>
          <w:tcPr>
            <w:tcW w:type="dxa" w:w="1134"/>
          </w:tcPr>
          <w:p>
            <w:r/>
            <w:r>
              <w:rPr>
                <w:rFonts w:ascii="Calibri" w:hAnsi="Calibri"/>
                <w:sz w:val="16"/>
              </w:rPr>
              <w:t>1</w:t>
            </w:r>
          </w:p>
        </w:tc>
        <w:tc>
          <w:tcPr>
            <w:tcW w:type="dxa" w:w="1984"/>
          </w:tcPr>
          <w:p>
            <w:r/>
            <w:r>
              <w:rPr>
                <w:rFonts w:ascii="Calibri" w:hAnsi="Calibri"/>
                <w:sz w:val="16"/>
              </w:rPr>
              <w:t>Sativex</w:t>
            </w:r>
          </w:p>
        </w:tc>
        <w:tc>
          <w:tcPr>
            <w:tcW w:type="dxa" w:w="1417"/>
          </w:tcPr>
          <w:p>
            <w:r/>
            <w:r>
              <w:rPr>
                <w:rFonts w:ascii="Calibri" w:hAnsi="Calibri"/>
                <w:sz w:val="16"/>
              </w:rPr>
              <w:t>20, 21</w:t>
            </w:r>
          </w:p>
        </w:tc>
      </w:tr>
      <w:tr>
        <w:tc>
          <w:tcPr>
            <w:tcW w:type="dxa" w:w="2551"/>
            <w:tcBorders>
              <w:left w:val="single" w:sz="18" w:space="0" w:color="B45309"/>
            </w:tcBorders>
          </w:tcPr>
          <w:p>
            <w:r/>
            <w:r>
              <w:rPr>
                <w:rFonts w:ascii="Calibri" w:hAnsi="Calibri"/>
                <w:sz w:val="16"/>
              </w:rPr>
              <w:t>Chemotherapy-induced N&amp;V</w:t>
            </w:r>
          </w:p>
        </w:tc>
        <w:tc>
          <w:tcPr>
            <w:tcW w:type="dxa" w:w="1984"/>
          </w:tcPr>
          <w:p>
            <w:r/>
            <w:r>
              <w:rPr>
                <w:rFonts w:ascii="Calibri" w:hAnsi="Calibri"/>
                <w:sz w:val="16"/>
              </w:rPr>
              <w:t>THC (synthetic)</w:t>
            </w:r>
          </w:p>
        </w:tc>
        <w:tc>
          <w:tcPr>
            <w:tcW w:type="dxa" w:w="1134"/>
          </w:tcPr>
          <w:p>
            <w:r/>
            <w:r>
              <w:rPr>
                <w:rFonts w:ascii="Calibri" w:hAnsi="Calibri"/>
                <w:sz w:val="16"/>
              </w:rPr>
              <w:t>1</w:t>
            </w:r>
          </w:p>
        </w:tc>
        <w:tc>
          <w:tcPr>
            <w:tcW w:type="dxa" w:w="1984"/>
          </w:tcPr>
          <w:p>
            <w:r/>
            <w:r>
              <w:rPr>
                <w:rFonts w:ascii="Calibri" w:hAnsi="Calibri"/>
                <w:sz w:val="16"/>
              </w:rPr>
              <w:t>Nabilone (Cesamet)</w:t>
            </w:r>
          </w:p>
        </w:tc>
        <w:tc>
          <w:tcPr>
            <w:tcW w:type="dxa" w:w="1417"/>
          </w:tcPr>
          <w:p>
            <w:r/>
            <w:r>
              <w:rPr>
                <w:rFonts w:ascii="Calibri" w:hAnsi="Calibri"/>
                <w:sz w:val="16"/>
              </w:rPr>
              <w:t>16, 17, 18</w:t>
            </w:r>
          </w:p>
        </w:tc>
      </w:tr>
      <w:tr>
        <w:tc>
          <w:tcPr>
            <w:tcW w:type="dxa" w:w="2551"/>
            <w:tcBorders>
              <w:left w:val="single" w:sz="18" w:space="0" w:color="B45309"/>
            </w:tcBorders>
          </w:tcPr>
          <w:p>
            <w:r/>
            <w:r>
              <w:rPr>
                <w:rFonts w:ascii="Calibri" w:hAnsi="Calibri"/>
                <w:sz w:val="16"/>
              </w:rPr>
              <w:t>AIDS-related wasting</w:t>
            </w:r>
          </w:p>
        </w:tc>
        <w:tc>
          <w:tcPr>
            <w:tcW w:type="dxa" w:w="1984"/>
          </w:tcPr>
          <w:p>
            <w:r/>
            <w:r>
              <w:rPr>
                <w:rFonts w:ascii="Calibri" w:hAnsi="Calibri"/>
                <w:sz w:val="16"/>
              </w:rPr>
              <w:t>THC</w:t>
            </w:r>
          </w:p>
        </w:tc>
        <w:tc>
          <w:tcPr>
            <w:tcW w:type="dxa" w:w="1134"/>
          </w:tcPr>
          <w:p>
            <w:r/>
            <w:r>
              <w:rPr>
                <w:rFonts w:ascii="Calibri" w:hAnsi="Calibri"/>
                <w:sz w:val="16"/>
              </w:rPr>
              <w:t>2</w:t>
            </w:r>
          </w:p>
        </w:tc>
        <w:tc>
          <w:tcPr>
            <w:tcW w:type="dxa" w:w="1984"/>
          </w:tcPr>
          <w:p>
            <w:r/>
            <w:r>
              <w:rPr>
                <w:rFonts w:ascii="Calibri" w:hAnsi="Calibri"/>
                <w:sz w:val="16"/>
              </w:rPr>
              <w:t>Dronabinol (Specials)</w:t>
            </w:r>
          </w:p>
        </w:tc>
        <w:tc>
          <w:tcPr>
            <w:tcW w:type="dxa" w:w="1417"/>
          </w:tcPr>
          <w:p>
            <w:r/>
            <w:r>
              <w:rPr>
                <w:rFonts w:ascii="Calibri" w:hAnsi="Calibri"/>
                <w:sz w:val="16"/>
              </w:rPr>
              <w:t>16, 17, 18</w:t>
            </w:r>
          </w:p>
        </w:tc>
      </w:tr>
      <w:tr>
        <w:tc>
          <w:tcPr>
            <w:tcW w:type="dxa" w:w="2551"/>
            <w:tcBorders>
              <w:left w:val="single" w:sz="18" w:space="0" w:color="0F766E"/>
            </w:tcBorders>
          </w:tcPr>
          <w:p>
            <w:r/>
            <w:r>
              <w:rPr>
                <w:rFonts w:ascii="Calibri" w:hAnsi="Calibri"/>
                <w:sz w:val="16"/>
              </w:rPr>
              <w:t>Schizophrenia (adjunct)</w:t>
            </w:r>
          </w:p>
        </w:tc>
        <w:tc>
          <w:tcPr>
            <w:tcW w:type="dxa" w:w="1984"/>
          </w:tcPr>
          <w:p>
            <w:r/>
            <w:r>
              <w:rPr>
                <w:rFonts w:ascii="Calibri" w:hAnsi="Calibri"/>
                <w:sz w:val="16"/>
              </w:rPr>
              <w:t>CBD</w:t>
            </w:r>
          </w:p>
        </w:tc>
        <w:tc>
          <w:tcPr>
            <w:tcW w:type="dxa" w:w="1134"/>
          </w:tcPr>
          <w:p>
            <w:r/>
            <w:r>
              <w:rPr>
                <w:rFonts w:ascii="Calibri" w:hAnsi="Calibri"/>
                <w:sz w:val="16"/>
              </w:rPr>
              <w:t>3</w:t>
            </w:r>
          </w:p>
        </w:tc>
        <w:tc>
          <w:tcPr>
            <w:tcW w:type="dxa" w:w="1984"/>
          </w:tcPr>
          <w:p>
            <w:r/>
            <w:r>
              <w:rPr>
                <w:rFonts w:ascii="Calibri" w:hAnsi="Calibri"/>
                <w:sz w:val="16"/>
              </w:rPr>
              <w:t>None licensed</w:t>
            </w:r>
          </w:p>
        </w:tc>
        <w:tc>
          <w:tcPr>
            <w:tcW w:type="dxa" w:w="1417"/>
          </w:tcPr>
          <w:p>
            <w:r/>
            <w:r>
              <w:rPr>
                <w:rFonts w:ascii="Calibri" w:hAnsi="Calibri"/>
                <w:sz w:val="16"/>
              </w:rPr>
              <w:t>5, 6, 7, 8</w:t>
            </w:r>
          </w:p>
        </w:tc>
      </w:tr>
      <w:tr>
        <w:tc>
          <w:tcPr>
            <w:tcW w:type="dxa" w:w="2551"/>
            <w:tcBorders>
              <w:left w:val="single" w:sz="18" w:space="0" w:color="0F766E"/>
            </w:tcBorders>
          </w:tcPr>
          <w:p>
            <w:r/>
            <w:r>
              <w:rPr>
                <w:rFonts w:ascii="Calibri" w:hAnsi="Calibri"/>
                <w:sz w:val="16"/>
              </w:rPr>
              <w:t>Social anxiety / acute performance anxiety</w:t>
            </w:r>
          </w:p>
        </w:tc>
        <w:tc>
          <w:tcPr>
            <w:tcW w:type="dxa" w:w="1984"/>
          </w:tcPr>
          <w:p>
            <w:r/>
            <w:r>
              <w:rPr>
                <w:rFonts w:ascii="Calibri" w:hAnsi="Calibri"/>
                <w:sz w:val="16"/>
              </w:rPr>
              <w:t>CBD</w:t>
            </w:r>
          </w:p>
        </w:tc>
        <w:tc>
          <w:tcPr>
            <w:tcW w:type="dxa" w:w="1134"/>
          </w:tcPr>
          <w:p>
            <w:r/>
            <w:r>
              <w:rPr>
                <w:rFonts w:ascii="Calibri" w:hAnsi="Calibri"/>
                <w:sz w:val="16"/>
              </w:rPr>
              <w:t>3</w:t>
            </w:r>
          </w:p>
        </w:tc>
        <w:tc>
          <w:tcPr>
            <w:tcW w:type="dxa" w:w="1984"/>
          </w:tcPr>
          <w:p>
            <w:r/>
            <w:r>
              <w:rPr>
                <w:rFonts w:ascii="Calibri" w:hAnsi="Calibri"/>
                <w:sz w:val="16"/>
              </w:rPr>
              <w:t>None licensed</w:t>
            </w:r>
          </w:p>
        </w:tc>
        <w:tc>
          <w:tcPr>
            <w:tcW w:type="dxa" w:w="1417"/>
          </w:tcPr>
          <w:p>
            <w:r/>
            <w:r>
              <w:rPr>
                <w:rFonts w:ascii="Calibri" w:hAnsi="Calibri"/>
                <w:sz w:val="16"/>
              </w:rPr>
              <w:t>9, 10, 11</w:t>
            </w:r>
          </w:p>
        </w:tc>
      </w:tr>
      <w:tr>
        <w:tc>
          <w:tcPr>
            <w:tcW w:type="dxa" w:w="2551"/>
            <w:tcBorders>
              <w:left w:val="single" w:sz="18" w:space="0" w:color="0F766E"/>
            </w:tcBorders>
          </w:tcPr>
          <w:p>
            <w:r/>
            <w:r>
              <w:rPr>
                <w:rFonts w:ascii="Calibri" w:hAnsi="Calibri"/>
                <w:sz w:val="16"/>
              </w:rPr>
              <w:t>Generalised anxiety disorder</w:t>
            </w:r>
          </w:p>
        </w:tc>
        <w:tc>
          <w:tcPr>
            <w:tcW w:type="dxa" w:w="1984"/>
          </w:tcPr>
          <w:p>
            <w:r/>
            <w:r>
              <w:rPr>
                <w:rFonts w:ascii="Calibri" w:hAnsi="Calibri"/>
                <w:sz w:val="16"/>
              </w:rPr>
              <w:t>CBD</w:t>
            </w:r>
          </w:p>
        </w:tc>
        <w:tc>
          <w:tcPr>
            <w:tcW w:type="dxa" w:w="1134"/>
          </w:tcPr>
          <w:p>
            <w:r/>
            <w:r>
              <w:rPr>
                <w:rFonts w:ascii="Calibri" w:hAnsi="Calibri"/>
                <w:sz w:val="16"/>
              </w:rPr>
              <w:t>4</w:t>
            </w:r>
          </w:p>
        </w:tc>
        <w:tc>
          <w:tcPr>
            <w:tcW w:type="dxa" w:w="1984"/>
          </w:tcPr>
          <w:p>
            <w:r/>
            <w:r>
              <w:rPr>
                <w:rFonts w:ascii="Calibri" w:hAnsi="Calibri"/>
                <w:sz w:val="16"/>
              </w:rPr>
              <w:t>None licensed</w:t>
            </w:r>
          </w:p>
        </w:tc>
        <w:tc>
          <w:tcPr>
            <w:tcW w:type="dxa" w:w="1417"/>
          </w:tcPr>
          <w:p>
            <w:r/>
            <w:r>
              <w:rPr>
                <w:rFonts w:ascii="Calibri" w:hAnsi="Calibri"/>
                <w:sz w:val="16"/>
              </w:rPr>
              <w:t>9, 10, 11</w:t>
            </w:r>
          </w:p>
        </w:tc>
      </w:tr>
      <w:tr>
        <w:tc>
          <w:tcPr>
            <w:tcW w:type="dxa" w:w="2551"/>
            <w:tcBorders>
              <w:left w:val="single" w:sz="18" w:space="0" w:color="4338CA"/>
            </w:tcBorders>
          </w:tcPr>
          <w:p>
            <w:r/>
            <w:r>
              <w:rPr>
                <w:rFonts w:ascii="Calibri" w:hAnsi="Calibri"/>
                <w:sz w:val="16"/>
              </w:rPr>
              <w:t>Cancer pain</w:t>
            </w:r>
          </w:p>
        </w:tc>
        <w:tc>
          <w:tcPr>
            <w:tcW w:type="dxa" w:w="1984"/>
          </w:tcPr>
          <w:p>
            <w:r/>
            <w:r>
              <w:rPr>
                <w:rFonts w:ascii="Calibri" w:hAnsi="Calibri"/>
                <w:sz w:val="16"/>
              </w:rPr>
              <w:t>CBD : THC</w:t>
            </w:r>
          </w:p>
        </w:tc>
        <w:tc>
          <w:tcPr>
            <w:tcW w:type="dxa" w:w="1134"/>
          </w:tcPr>
          <w:p>
            <w:r/>
            <w:r>
              <w:rPr>
                <w:rFonts w:ascii="Calibri" w:hAnsi="Calibri"/>
                <w:sz w:val="16"/>
              </w:rPr>
              <w:t>3</w:t>
            </w:r>
          </w:p>
        </w:tc>
        <w:tc>
          <w:tcPr>
            <w:tcW w:type="dxa" w:w="1984"/>
          </w:tcPr>
          <w:p>
            <w:r/>
            <w:r>
              <w:rPr>
                <w:rFonts w:ascii="Calibri" w:hAnsi="Calibri"/>
                <w:sz w:val="16"/>
              </w:rPr>
              <w:t>Sativex (off-label)</w:t>
            </w:r>
          </w:p>
        </w:tc>
        <w:tc>
          <w:tcPr>
            <w:tcW w:type="dxa" w:w="1417"/>
          </w:tcPr>
          <w:p>
            <w:r/>
            <w:r>
              <w:rPr>
                <w:rFonts w:ascii="Calibri" w:hAnsi="Calibri"/>
                <w:sz w:val="16"/>
              </w:rPr>
              <w:t>18, 22, 23, 24</w:t>
            </w:r>
          </w:p>
        </w:tc>
      </w:tr>
      <w:tr>
        <w:tc>
          <w:tcPr>
            <w:tcW w:type="dxa" w:w="2551"/>
            <w:tcBorders>
              <w:left w:val="single" w:sz="18" w:space="0" w:color="4338CA"/>
            </w:tcBorders>
          </w:tcPr>
          <w:p>
            <w:r/>
            <w:r>
              <w:rPr>
                <w:rFonts w:ascii="Calibri" w:hAnsi="Calibri"/>
                <w:sz w:val="16"/>
              </w:rPr>
              <w:t>Chronic neuropathic pain</w:t>
            </w:r>
          </w:p>
        </w:tc>
        <w:tc>
          <w:tcPr>
            <w:tcW w:type="dxa" w:w="1984"/>
          </w:tcPr>
          <w:p>
            <w:r/>
            <w:r>
              <w:rPr>
                <w:rFonts w:ascii="Calibri" w:hAnsi="Calibri"/>
                <w:sz w:val="16"/>
              </w:rPr>
              <w:t>CBD : THC</w:t>
            </w:r>
          </w:p>
        </w:tc>
        <w:tc>
          <w:tcPr>
            <w:tcW w:type="dxa" w:w="1134"/>
          </w:tcPr>
          <w:p>
            <w:r/>
            <w:r>
              <w:rPr>
                <w:rFonts w:ascii="Calibri" w:hAnsi="Calibri"/>
                <w:sz w:val="16"/>
              </w:rPr>
              <w:t>3</w:t>
            </w:r>
          </w:p>
        </w:tc>
        <w:tc>
          <w:tcPr>
            <w:tcW w:type="dxa" w:w="1984"/>
          </w:tcPr>
          <w:p>
            <w:r/>
            <w:r>
              <w:rPr>
                <w:rFonts w:ascii="Calibri" w:hAnsi="Calibri"/>
                <w:sz w:val="16"/>
              </w:rPr>
              <w:t>Sativex (off-label)</w:t>
            </w:r>
          </w:p>
        </w:tc>
        <w:tc>
          <w:tcPr>
            <w:tcW w:type="dxa" w:w="1417"/>
          </w:tcPr>
          <w:p>
            <w:r/>
            <w:r>
              <w:rPr>
                <w:rFonts w:ascii="Calibri" w:hAnsi="Calibri"/>
                <w:sz w:val="16"/>
              </w:rPr>
              <w:t>18, 22, 23, 24</w:t>
            </w:r>
          </w:p>
        </w:tc>
      </w:tr>
      <w:tr>
        <w:tc>
          <w:tcPr>
            <w:tcW w:type="dxa" w:w="2551"/>
            <w:tcBorders>
              <w:left w:val="single" w:sz="18" w:space="0" w:color="B45309"/>
            </w:tcBorders>
          </w:tcPr>
          <w:p>
            <w:r/>
            <w:r>
              <w:rPr>
                <w:rFonts w:ascii="Calibri" w:hAnsi="Calibri"/>
                <w:sz w:val="16"/>
              </w:rPr>
              <w:t>Tourette's syndrome</w:t>
            </w:r>
          </w:p>
        </w:tc>
        <w:tc>
          <w:tcPr>
            <w:tcW w:type="dxa" w:w="1984"/>
          </w:tcPr>
          <w:p>
            <w:r/>
            <w:r>
              <w:rPr>
                <w:rFonts w:ascii="Calibri" w:hAnsi="Calibri"/>
                <w:sz w:val="16"/>
              </w:rPr>
              <w:t>THC</w:t>
            </w:r>
          </w:p>
        </w:tc>
        <w:tc>
          <w:tcPr>
            <w:tcW w:type="dxa" w:w="1134"/>
          </w:tcPr>
          <w:p>
            <w:r/>
            <w:r>
              <w:rPr>
                <w:rFonts w:ascii="Calibri" w:hAnsi="Calibri"/>
                <w:sz w:val="16"/>
              </w:rPr>
              <w:t>3</w:t>
            </w:r>
          </w:p>
        </w:tc>
        <w:tc>
          <w:tcPr>
            <w:tcW w:type="dxa" w:w="1984"/>
          </w:tcPr>
          <w:p>
            <w:r/>
            <w:r>
              <w:rPr>
                <w:rFonts w:ascii="Calibri" w:hAnsi="Calibri"/>
                <w:sz w:val="16"/>
              </w:rPr>
              <w:t>Nabilone (off-label)</w:t>
            </w:r>
          </w:p>
        </w:tc>
        <w:tc>
          <w:tcPr>
            <w:tcW w:type="dxa" w:w="1417"/>
          </w:tcPr>
          <w:p>
            <w:r/>
            <w:r>
              <w:rPr>
                <w:rFonts w:ascii="Calibri" w:hAnsi="Calibri"/>
                <w:sz w:val="16"/>
              </w:rPr>
              <w:t>19</w:t>
            </w:r>
          </w:p>
        </w:tc>
      </w:tr>
      <w:tr>
        <w:tc>
          <w:tcPr>
            <w:tcW w:type="dxa" w:w="2551"/>
            <w:tcBorders>
              <w:left w:val="single" w:sz="18" w:space="0" w:color="0F766E"/>
            </w:tcBorders>
          </w:tcPr>
          <w:p>
            <w:r/>
            <w:r>
              <w:rPr>
                <w:rFonts w:ascii="Calibri" w:hAnsi="Calibri"/>
                <w:sz w:val="16"/>
              </w:rPr>
              <w:t>Opioid / cannabis use disorder</w:t>
            </w:r>
          </w:p>
        </w:tc>
        <w:tc>
          <w:tcPr>
            <w:tcW w:type="dxa" w:w="1984"/>
          </w:tcPr>
          <w:p>
            <w:r/>
            <w:r>
              <w:rPr>
                <w:rFonts w:ascii="Calibri" w:hAnsi="Calibri"/>
                <w:sz w:val="16"/>
              </w:rPr>
              <w:t>CBD</w:t>
            </w:r>
          </w:p>
        </w:tc>
        <w:tc>
          <w:tcPr>
            <w:tcW w:type="dxa" w:w="1134"/>
          </w:tcPr>
          <w:p>
            <w:r/>
            <w:r>
              <w:rPr>
                <w:rFonts w:ascii="Calibri" w:hAnsi="Calibri"/>
                <w:sz w:val="16"/>
              </w:rPr>
              <w:t>3</w:t>
            </w:r>
          </w:p>
        </w:tc>
        <w:tc>
          <w:tcPr>
            <w:tcW w:type="dxa" w:w="1984"/>
          </w:tcPr>
          <w:p>
            <w:r/>
            <w:r>
              <w:rPr>
                <w:rFonts w:ascii="Calibri" w:hAnsi="Calibri"/>
                <w:sz w:val="16"/>
              </w:rPr>
              <w:t>None licensed</w:t>
            </w:r>
          </w:p>
        </w:tc>
        <w:tc>
          <w:tcPr>
            <w:tcW w:type="dxa" w:w="1417"/>
          </w:tcPr>
          <w:p>
            <w:r/>
            <w:r>
              <w:rPr>
                <w:rFonts w:ascii="Calibri" w:hAnsi="Calibri"/>
                <w:sz w:val="16"/>
              </w:rPr>
              <w:t>13, 14</w:t>
            </w:r>
          </w:p>
        </w:tc>
      </w:tr>
      <w:tr>
        <w:tc>
          <w:tcPr>
            <w:tcW w:type="dxa" w:w="2551"/>
            <w:tcBorders>
              <w:left w:val="single" w:sz="18" w:space="0" w:color="0F766E"/>
            </w:tcBorders>
          </w:tcPr>
          <w:p>
            <w:r/>
            <w:r>
              <w:rPr>
                <w:rFonts w:ascii="Calibri" w:hAnsi="Calibri"/>
                <w:sz w:val="16"/>
              </w:rPr>
              <w:t>PTSD</w:t>
            </w:r>
          </w:p>
        </w:tc>
        <w:tc>
          <w:tcPr>
            <w:tcW w:type="dxa" w:w="1984"/>
          </w:tcPr>
          <w:p>
            <w:r/>
            <w:r>
              <w:rPr>
                <w:rFonts w:ascii="Calibri" w:hAnsi="Calibri"/>
                <w:sz w:val="16"/>
              </w:rPr>
              <w:t>CBD (emerging)</w:t>
            </w:r>
          </w:p>
        </w:tc>
        <w:tc>
          <w:tcPr>
            <w:tcW w:type="dxa" w:w="1134"/>
          </w:tcPr>
          <w:p>
            <w:r/>
            <w:r>
              <w:rPr>
                <w:rFonts w:ascii="Calibri" w:hAnsi="Calibri"/>
                <w:sz w:val="16"/>
              </w:rPr>
              <w:t>4</w:t>
            </w:r>
          </w:p>
        </w:tc>
        <w:tc>
          <w:tcPr>
            <w:tcW w:type="dxa" w:w="1984"/>
          </w:tcPr>
          <w:p>
            <w:r/>
            <w:r>
              <w:rPr>
                <w:rFonts w:ascii="Calibri" w:hAnsi="Calibri"/>
                <w:sz w:val="16"/>
              </w:rPr>
              <w:t>None licensed</w:t>
            </w:r>
          </w:p>
        </w:tc>
        <w:tc>
          <w:tcPr>
            <w:tcW w:type="dxa" w:w="1417"/>
          </w:tcPr>
          <w:p>
            <w:r/>
            <w:r>
              <w:rPr>
                <w:rFonts w:ascii="Calibri" w:hAnsi="Calibri"/>
                <w:sz w:val="16"/>
              </w:rPr>
              <w:t>12, 25</w:t>
            </w:r>
          </w:p>
        </w:tc>
      </w:tr>
      <w:tr>
        <w:tc>
          <w:tcPr>
            <w:tcW w:type="dxa" w:w="2551"/>
            <w:tcBorders>
              <w:left w:val="single" w:sz="18" w:space="0" w:color="0F766E"/>
            </w:tcBorders>
          </w:tcPr>
          <w:p>
            <w:r/>
            <w:r>
              <w:rPr>
                <w:rFonts w:ascii="Calibri" w:hAnsi="Calibri"/>
                <w:sz w:val="16"/>
              </w:rPr>
              <w:t>Parkinson's disease (RBD, motor)</w:t>
            </w:r>
          </w:p>
        </w:tc>
        <w:tc>
          <w:tcPr>
            <w:tcW w:type="dxa" w:w="1984"/>
          </w:tcPr>
          <w:p>
            <w:r/>
            <w:r>
              <w:rPr>
                <w:rFonts w:ascii="Calibri" w:hAnsi="Calibri"/>
                <w:sz w:val="16"/>
              </w:rPr>
              <w:t>CBD (weak)</w:t>
            </w:r>
          </w:p>
        </w:tc>
        <w:tc>
          <w:tcPr>
            <w:tcW w:type="dxa" w:w="1134"/>
          </w:tcPr>
          <w:p>
            <w:r/>
            <w:r>
              <w:rPr>
                <w:rFonts w:ascii="Calibri" w:hAnsi="Calibri"/>
                <w:sz w:val="16"/>
              </w:rPr>
              <w:t>4</w:t>
            </w:r>
          </w:p>
        </w:tc>
        <w:tc>
          <w:tcPr>
            <w:tcW w:type="dxa" w:w="1984"/>
          </w:tcPr>
          <w:p>
            <w:r/>
            <w:r>
              <w:rPr>
                <w:rFonts w:ascii="Calibri" w:hAnsi="Calibri"/>
                <w:sz w:val="16"/>
              </w:rPr>
              <w:t>None licensed</w:t>
            </w:r>
          </w:p>
        </w:tc>
        <w:tc>
          <w:tcPr>
            <w:tcW w:type="dxa" w:w="1417"/>
          </w:tcPr>
          <w:p>
            <w:r/>
            <w:r>
              <w:rPr>
                <w:rFonts w:ascii="Calibri" w:hAnsi="Calibri"/>
                <w:sz w:val="16"/>
              </w:rPr>
              <w:t>small RCTs</w:t>
            </w:r>
          </w:p>
        </w:tc>
      </w:tr>
      <w:tr>
        <w:tc>
          <w:tcPr>
            <w:tcW w:type="dxa" w:w="2551"/>
            <w:tcBorders>
              <w:left w:val="single" w:sz="18" w:space="0" w:color="0F766E"/>
            </w:tcBorders>
          </w:tcPr>
          <w:p>
            <w:r/>
            <w:r>
              <w:rPr>
                <w:rFonts w:ascii="Calibri" w:hAnsi="Calibri"/>
                <w:sz w:val="16"/>
              </w:rPr>
              <w:t>Autism (irritability, behaviour)</w:t>
            </w:r>
          </w:p>
        </w:tc>
        <w:tc>
          <w:tcPr>
            <w:tcW w:type="dxa" w:w="1984"/>
          </w:tcPr>
          <w:p>
            <w:r/>
            <w:r>
              <w:rPr>
                <w:rFonts w:ascii="Calibri" w:hAnsi="Calibri"/>
                <w:sz w:val="16"/>
              </w:rPr>
              <w:t>CBD-rich</w:t>
            </w:r>
          </w:p>
        </w:tc>
        <w:tc>
          <w:tcPr>
            <w:tcW w:type="dxa" w:w="1134"/>
          </w:tcPr>
          <w:p>
            <w:r/>
            <w:r>
              <w:rPr>
                <w:rFonts w:ascii="Calibri" w:hAnsi="Calibri"/>
                <w:sz w:val="16"/>
              </w:rPr>
              <w:t>4</w:t>
            </w:r>
          </w:p>
        </w:tc>
        <w:tc>
          <w:tcPr>
            <w:tcW w:type="dxa" w:w="1984"/>
          </w:tcPr>
          <w:p>
            <w:r/>
            <w:r>
              <w:rPr>
                <w:rFonts w:ascii="Calibri" w:hAnsi="Calibri"/>
                <w:sz w:val="16"/>
              </w:rPr>
              <w:t>None licensed</w:t>
            </w:r>
          </w:p>
        </w:tc>
        <w:tc>
          <w:tcPr>
            <w:tcW w:type="dxa" w:w="1417"/>
          </w:tcPr>
          <w:p>
            <w:r/>
            <w:r>
              <w:rPr>
                <w:rFonts w:ascii="Calibri" w:hAnsi="Calibri"/>
                <w:sz w:val="16"/>
              </w:rPr>
              <w:t>15</w:t>
            </w:r>
          </w:p>
        </w:tc>
      </w:tr>
      <w:tr>
        <w:tc>
          <w:tcPr>
            <w:tcW w:type="dxa" w:w="2551"/>
            <w:tcBorders>
              <w:left w:val="single" w:sz="18" w:space="0" w:color="0F766E"/>
            </w:tcBorders>
          </w:tcPr>
          <w:p>
            <w:r/>
            <w:r>
              <w:rPr>
                <w:rFonts w:ascii="Calibri" w:hAnsi="Calibri"/>
                <w:sz w:val="16"/>
              </w:rPr>
              <w:t>Insomnia disorder</w:t>
            </w:r>
          </w:p>
        </w:tc>
        <w:tc>
          <w:tcPr>
            <w:tcW w:type="dxa" w:w="1984"/>
          </w:tcPr>
          <w:p>
            <w:r/>
            <w:r>
              <w:rPr>
                <w:rFonts w:ascii="Calibri" w:hAnsi="Calibri"/>
                <w:sz w:val="16"/>
              </w:rPr>
              <w:t>CBD (emerging)</w:t>
            </w:r>
          </w:p>
        </w:tc>
        <w:tc>
          <w:tcPr>
            <w:tcW w:type="dxa" w:w="1134"/>
          </w:tcPr>
          <w:p>
            <w:r/>
            <w:r>
              <w:rPr>
                <w:rFonts w:ascii="Calibri" w:hAnsi="Calibri"/>
                <w:sz w:val="16"/>
              </w:rPr>
              <w:t>4</w:t>
            </w:r>
          </w:p>
        </w:tc>
        <w:tc>
          <w:tcPr>
            <w:tcW w:type="dxa" w:w="1984"/>
          </w:tcPr>
          <w:p>
            <w:r/>
            <w:r>
              <w:rPr>
                <w:rFonts w:ascii="Calibri" w:hAnsi="Calibri"/>
                <w:sz w:val="16"/>
              </w:rPr>
              <w:t>None licensed</w:t>
            </w:r>
          </w:p>
        </w:tc>
        <w:tc>
          <w:tcPr>
            <w:tcW w:type="dxa" w:w="1417"/>
          </w:tcPr>
          <w:p>
            <w:r/>
            <w:r>
              <w:rPr>
                <w:rFonts w:ascii="Calibri" w:hAnsi="Calibri"/>
                <w:sz w:val="16"/>
              </w:rPr>
              <w:t>26</w:t>
            </w:r>
          </w:p>
        </w:tc>
      </w:tr>
      <w:tr>
        <w:tc>
          <w:tcPr>
            <w:tcW w:type="dxa" w:w="2551"/>
            <w:tcBorders>
              <w:left w:val="single" w:sz="18" w:space="0" w:color="0F766E"/>
            </w:tcBorders>
          </w:tcPr>
          <w:p>
            <w:r/>
            <w:r>
              <w:rPr>
                <w:rFonts w:ascii="Calibri" w:hAnsi="Calibri"/>
                <w:sz w:val="16"/>
              </w:rPr>
              <w:t>Traumatic brain injury / TBI sequelae</w:t>
            </w:r>
          </w:p>
        </w:tc>
        <w:tc>
          <w:tcPr>
            <w:tcW w:type="dxa" w:w="1984"/>
          </w:tcPr>
          <w:p>
            <w:r/>
            <w:r>
              <w:rPr>
                <w:rFonts w:ascii="Calibri" w:hAnsi="Calibri"/>
                <w:sz w:val="16"/>
              </w:rPr>
              <w:t>CBD (investigational)</w:t>
            </w:r>
          </w:p>
        </w:tc>
        <w:tc>
          <w:tcPr>
            <w:tcW w:type="dxa" w:w="1134"/>
          </w:tcPr>
          <w:p>
            <w:r/>
            <w:r>
              <w:rPr>
                <w:rFonts w:ascii="Calibri" w:hAnsi="Calibri"/>
                <w:sz w:val="16"/>
              </w:rPr>
              <w:t>5</w:t>
            </w:r>
          </w:p>
        </w:tc>
        <w:tc>
          <w:tcPr>
            <w:tcW w:type="dxa" w:w="1984"/>
          </w:tcPr>
          <w:p>
            <w:r/>
            <w:r>
              <w:rPr>
                <w:rFonts w:ascii="Calibri" w:hAnsi="Calibri"/>
                <w:sz w:val="16"/>
              </w:rPr>
              <w:t>None licensed</w:t>
            </w:r>
          </w:p>
        </w:tc>
        <w:tc>
          <w:tcPr>
            <w:tcW w:type="dxa" w:w="1417"/>
          </w:tcPr>
          <w:p>
            <w:r/>
            <w:r>
              <w:rPr>
                <w:rFonts w:ascii="Calibri" w:hAnsi="Calibri"/>
                <w:sz w:val="16"/>
              </w:rPr>
              <w:t>27</w:t>
            </w:r>
          </w:p>
        </w:tc>
      </w:tr>
    </w:tbl>
    <w:p>
      <w:pPr>
        <w:spacing w:after="80" w:before="0"/>
      </w:pPr>
      <w:r>
        <w:rPr>
          <w:rFonts w:ascii="Calibri" w:hAnsi="Calibri"/>
          <w:b w:val="0"/>
          <w:i w:val="0"/>
          <w:sz w:val="20"/>
        </w:rPr>
      </w:r>
    </w:p>
    <w:p>
      <w:pPr>
        <w:spacing w:after="240" w:before="0"/>
      </w:pPr>
      <w:r>
        <w:rPr>
          <w:rFonts w:ascii="Calibri" w:hAnsi="Calibri"/>
          <w:b w:val="0"/>
          <w:i/>
          <w:color w:val="999999"/>
          <w:sz w:val="16"/>
        </w:rPr>
        <w:t>Prevailing molecule is an evidence-strength judgement, not a treatment recommendation.</w:t>
      </w:r>
    </w:p>
    <w:p>
      <w:r>
        <w:br w:type="page"/>
      </w:r>
    </w:p>
    <w:p>
      <w:pPr>
        <w:spacing w:after="160" w:before="0"/>
      </w:pPr>
      <w:r>
        <w:rPr>
          <w:rFonts w:ascii="Calibri" w:hAnsi="Calibri"/>
          <w:b/>
          <w:i w:val="0"/>
          <w:color w:val="333333"/>
          <w:sz w:val="28"/>
        </w:rPr>
        <w:t>Section 4: Indication-by-Indication Detail</w:t>
      </w:r>
    </w:p>
    <w:p>
      <w:pPr>
        <w:spacing w:after="80" w:before="0"/>
      </w:pPr>
      <w:r>
        <w:rPr>
          <w:rFonts w:ascii="Calibri" w:hAnsi="Calibri"/>
          <w:b/>
          <w:i w:val="0"/>
          <w:color w:val="333333"/>
          <w:sz w:val="22"/>
        </w:rPr>
        <w:t xml:space="preserve">4.1 </w:t>
      </w:r>
      <w:r>
        <w:rPr>
          <w:rFonts w:ascii="Calibri" w:hAnsi="Calibri"/>
          <w:b/>
          <w:i w:val="0"/>
          <w:color w:val="333333"/>
          <w:sz w:val="22"/>
        </w:rPr>
        <w:t>Drug-resistant epilepsies (Dravet, LGS, TSC)</w:t>
      </w:r>
    </w:p>
    <w:p>
      <w:pPr>
        <w:spacing w:after="80" w:before="0"/>
      </w:pPr>
      <w:r>
        <w:rPr>
          <w:rFonts w:ascii="Calibri" w:hAnsi="Calibri"/>
          <w:b w:val="0"/>
          <w:i w:val="0"/>
          <w:sz w:val="20"/>
        </w:rPr>
        <w:t>CBD has the strongest evidence base of any cannabinoid in any indication. Three Phase 3 RCTs led to UK and EU approval of Epidyolex (cannabidiol oral solution) at 10 to 25 mg/kg/day. THC is contraindicated; pro-convulsant risk and absence of paediatric safety data.</w:t>
      </w:r>
    </w:p>
    <w:tbl>
      <w:tblPr>
        <w:tblStyle w:val="TableGrid"/>
        <w:tblW w:type="auto" w:w="0"/>
        <w:tblLook w:firstColumn="1" w:firstRow="1" w:lastColumn="0" w:lastRow="0" w:noHBand="0" w:noVBand="1" w:val="04A0"/>
      </w:tblPr>
      <w:tblGrid>
        <w:gridCol w:w="9972"/>
      </w:tblGrid>
      <w:tr>
        <w:tc>
          <w:tcPr>
            <w:tcW w:type="dxa" w:w="9972"/>
            <w:tcBorders>
              <w:top w:val="single" w:sz="2" w:space="0" w:color="0F766E"/>
              <w:bottom w:val="single" w:sz="2" w:space="0" w:color="0F766E"/>
              <w:left w:val="single" w:sz="12" w:space="0" w:color="0F766E"/>
              <w:right w:val="single" w:sz="2" w:space="0" w:color="0F766E"/>
            </w:tcBorders>
          </w:tcPr>
          <w:p>
            <w:r/>
            <w:r>
              <w:rPr>
                <w:rFonts w:ascii="Calibri" w:hAnsi="Calibri"/>
                <w:b/>
                <w:color w:val="0F766E"/>
                <w:sz w:val="18"/>
              </w:rPr>
              <w:t>Verdict: CBD has strongest evidence; licensed in indication. Level 1.</w:t>
            </w:r>
          </w:p>
        </w:tc>
      </w:tr>
    </w:tbl>
    <w:p>
      <w:pPr>
        <w:spacing w:after="200" w:before="0"/>
      </w:pPr>
      <w:r>
        <w:rPr>
          <w:rFonts w:ascii="Calibri" w:hAnsi="Calibri"/>
          <w:b w:val="0"/>
          <w:i/>
          <w:color w:val="999999"/>
          <w:sz w:val="16"/>
        </w:rPr>
        <w:t>References: 1, 2, 3, 4</w:t>
      </w:r>
    </w:p>
    <w:p>
      <w:pPr>
        <w:spacing w:after="80" w:before="0"/>
      </w:pPr>
      <w:r>
        <w:rPr>
          <w:rFonts w:ascii="Calibri" w:hAnsi="Calibri"/>
          <w:b/>
          <w:i w:val="0"/>
          <w:color w:val="333333"/>
          <w:sz w:val="22"/>
        </w:rPr>
        <w:t xml:space="preserve">4.2 </w:t>
      </w:r>
      <w:r>
        <w:rPr>
          <w:rFonts w:ascii="Calibri" w:hAnsi="Calibri"/>
          <w:b/>
          <w:i w:val="0"/>
          <w:color w:val="333333"/>
          <w:sz w:val="22"/>
        </w:rPr>
        <w:t>Multiple sclerosis spasticity</w:t>
      </w:r>
    </w:p>
    <w:p>
      <w:pPr>
        <w:spacing w:after="80" w:before="0"/>
      </w:pPr>
      <w:r>
        <w:rPr>
          <w:rFonts w:ascii="Calibri" w:hAnsi="Calibri"/>
          <w:b w:val="0"/>
          <w:i w:val="0"/>
          <w:sz w:val="20"/>
        </w:rPr>
        <w:t>Sativex (THC:CBD 1:1, oromucosal spray) is licensed in UK for MS-related spasticity inadequately responsive to other antispastics. Two pivotal Phase 3 RCTs and an enriched-design responder trial. CBD monotherapy has no robust evidence here. THC monotherapy is not licensed for this indication.</w:t>
      </w:r>
    </w:p>
    <w:tbl>
      <w:tblPr>
        <w:tblStyle w:val="TableGrid"/>
        <w:tblW w:type="auto" w:w="0"/>
        <w:tblLook w:firstColumn="1" w:firstRow="1" w:lastColumn="0" w:lastRow="0" w:noHBand="0" w:noVBand="1" w:val="04A0"/>
      </w:tblPr>
      <w:tblGrid>
        <w:gridCol w:w="9972"/>
      </w:tblGrid>
      <w:tr>
        <w:tc>
          <w:tcPr>
            <w:tcW w:type="dxa" w:w="9972"/>
            <w:tcBorders>
              <w:top w:val="single" w:sz="2" w:space="0" w:color="4338CA"/>
              <w:bottom w:val="single" w:sz="2" w:space="0" w:color="4338CA"/>
              <w:left w:val="single" w:sz="12" w:space="0" w:color="4338CA"/>
              <w:right w:val="single" w:sz="2" w:space="0" w:color="4338CA"/>
            </w:tcBorders>
          </w:tcPr>
          <w:p>
            <w:r/>
            <w:r>
              <w:rPr>
                <w:rFonts w:ascii="Calibri" w:hAnsi="Calibri"/>
                <w:b/>
                <w:color w:val="4338CA"/>
                <w:sz w:val="18"/>
              </w:rPr>
              <w:t>Verdict: CBD:THC combination has strongest evidence. Level 1.</w:t>
            </w:r>
          </w:p>
        </w:tc>
      </w:tr>
    </w:tbl>
    <w:p>
      <w:pPr>
        <w:spacing w:after="200" w:before="0"/>
      </w:pPr>
      <w:r>
        <w:rPr>
          <w:rFonts w:ascii="Calibri" w:hAnsi="Calibri"/>
          <w:b w:val="0"/>
          <w:i/>
          <w:color w:val="999999"/>
          <w:sz w:val="16"/>
        </w:rPr>
        <w:t>References: 20, 21</w:t>
      </w:r>
    </w:p>
    <w:p>
      <w:pPr>
        <w:spacing w:after="80" w:before="0"/>
      </w:pPr>
      <w:r>
        <w:rPr>
          <w:rFonts w:ascii="Calibri" w:hAnsi="Calibri"/>
          <w:b/>
          <w:i w:val="0"/>
          <w:color w:val="333333"/>
          <w:sz w:val="22"/>
        </w:rPr>
        <w:t xml:space="preserve">4.3 </w:t>
      </w:r>
      <w:r>
        <w:rPr>
          <w:rFonts w:ascii="Calibri" w:hAnsi="Calibri"/>
          <w:b/>
          <w:i w:val="0"/>
          <w:color w:val="333333"/>
          <w:sz w:val="22"/>
        </w:rPr>
        <w:t>Chemotherapy-induced nausea and vomiting</w:t>
      </w:r>
    </w:p>
    <w:p>
      <w:pPr>
        <w:spacing w:after="80" w:before="0"/>
      </w:pPr>
      <w:r>
        <w:rPr>
          <w:rFonts w:ascii="Calibri" w:hAnsi="Calibri"/>
          <w:b w:val="0"/>
          <w:i w:val="0"/>
          <w:sz w:val="20"/>
        </w:rPr>
        <w:t>Nabilone (synthetic THC analogue) and dronabinol (synthetic THC) are both supported by Phase 3 RCTs and meta-analyses, with nabilone licensed in the UK as Cesamet. CBD has no licensed CINV indication and limited data.</w:t>
      </w:r>
    </w:p>
    <w:tbl>
      <w:tblPr>
        <w:tblStyle w:val="TableGrid"/>
        <w:tblW w:type="auto" w:w="0"/>
        <w:tblLook w:firstColumn="1" w:firstRow="1" w:lastColumn="0" w:lastRow="0" w:noHBand="0" w:noVBand="1" w:val="04A0"/>
      </w:tblPr>
      <w:tblGrid>
        <w:gridCol w:w="9972"/>
      </w:tblGrid>
      <w:tr>
        <w:tc>
          <w:tcPr>
            <w:tcW w:type="dxa" w:w="9972"/>
            <w:tcBorders>
              <w:top w:val="single" w:sz="2" w:space="0" w:color="B45309"/>
              <w:bottom w:val="single" w:sz="2" w:space="0" w:color="B45309"/>
              <w:left w:val="single" w:sz="12" w:space="0" w:color="B45309"/>
              <w:right w:val="single" w:sz="2" w:space="0" w:color="B45309"/>
            </w:tcBorders>
          </w:tcPr>
          <w:p>
            <w:r/>
            <w:r>
              <w:rPr>
                <w:rFonts w:ascii="Calibri" w:hAnsi="Calibri"/>
                <w:b/>
                <w:color w:val="B45309"/>
                <w:sz w:val="18"/>
              </w:rPr>
              <w:t>Verdict: THC analogue has strongest evidence. Level 1.</w:t>
            </w:r>
          </w:p>
        </w:tc>
      </w:tr>
    </w:tbl>
    <w:p>
      <w:pPr>
        <w:spacing w:after="200" w:before="0"/>
      </w:pPr>
      <w:r>
        <w:rPr>
          <w:rFonts w:ascii="Calibri" w:hAnsi="Calibri"/>
          <w:b w:val="0"/>
          <w:i/>
          <w:color w:val="999999"/>
          <w:sz w:val="16"/>
        </w:rPr>
        <w:t>References: 16, 17, 18</w:t>
      </w:r>
    </w:p>
    <w:p>
      <w:pPr>
        <w:spacing w:after="80" w:before="0"/>
      </w:pPr>
      <w:r>
        <w:rPr>
          <w:rFonts w:ascii="Calibri" w:hAnsi="Calibri"/>
          <w:b/>
          <w:i w:val="0"/>
          <w:color w:val="333333"/>
          <w:sz w:val="22"/>
        </w:rPr>
        <w:t xml:space="preserve">4.4 </w:t>
      </w:r>
      <w:r>
        <w:rPr>
          <w:rFonts w:ascii="Calibri" w:hAnsi="Calibri"/>
          <w:b/>
          <w:i w:val="0"/>
          <w:color w:val="333333"/>
          <w:sz w:val="22"/>
        </w:rPr>
        <w:t>AIDS-related anorexia and wasting</w:t>
      </w:r>
    </w:p>
    <w:p>
      <w:pPr>
        <w:spacing w:after="80" w:before="0"/>
      </w:pPr>
      <w:r>
        <w:rPr>
          <w:rFonts w:ascii="Calibri" w:hAnsi="Calibri"/>
          <w:b w:val="0"/>
          <w:i w:val="0"/>
          <w:sz w:val="20"/>
        </w:rPr>
        <w:t>Dronabinol is FDA-approved (Marinol) on the basis of Beal 1995/1997 trials. Not licensed in UK; available via Specials or import on consultant authorisation. CBD has no clinical evidence for appetite stimulation.</w:t>
      </w:r>
    </w:p>
    <w:tbl>
      <w:tblPr>
        <w:tblStyle w:val="TableGrid"/>
        <w:tblW w:type="auto" w:w="0"/>
        <w:tblLook w:firstColumn="1" w:firstRow="1" w:lastColumn="0" w:lastRow="0" w:noHBand="0" w:noVBand="1" w:val="04A0"/>
      </w:tblPr>
      <w:tblGrid>
        <w:gridCol w:w="9972"/>
      </w:tblGrid>
      <w:tr>
        <w:tc>
          <w:tcPr>
            <w:tcW w:type="dxa" w:w="9972"/>
            <w:tcBorders>
              <w:top w:val="single" w:sz="2" w:space="0" w:color="B45309"/>
              <w:bottom w:val="single" w:sz="2" w:space="0" w:color="B45309"/>
              <w:left w:val="single" w:sz="12" w:space="0" w:color="B45309"/>
              <w:right w:val="single" w:sz="2" w:space="0" w:color="B45309"/>
            </w:tcBorders>
          </w:tcPr>
          <w:p>
            <w:r/>
            <w:r>
              <w:rPr>
                <w:rFonts w:ascii="Calibri" w:hAnsi="Calibri"/>
                <w:b/>
                <w:color w:val="B45309"/>
                <w:sz w:val="18"/>
              </w:rPr>
              <w:t>Verdict: THC analogue has strongest evidence. Level 2.</w:t>
            </w:r>
          </w:p>
        </w:tc>
      </w:tr>
    </w:tbl>
    <w:p>
      <w:pPr>
        <w:spacing w:after="200" w:before="0"/>
      </w:pPr>
      <w:r>
        <w:rPr>
          <w:rFonts w:ascii="Calibri" w:hAnsi="Calibri"/>
          <w:b w:val="0"/>
          <w:i/>
          <w:color w:val="999999"/>
          <w:sz w:val="16"/>
        </w:rPr>
        <w:t>References: 16, 17, 18</w:t>
      </w:r>
    </w:p>
    <w:p>
      <w:pPr>
        <w:spacing w:after="80" w:before="0"/>
      </w:pPr>
      <w:r>
        <w:rPr>
          <w:rFonts w:ascii="Calibri" w:hAnsi="Calibri"/>
          <w:b/>
          <w:i w:val="0"/>
          <w:color w:val="333333"/>
          <w:sz w:val="22"/>
        </w:rPr>
        <w:t xml:space="preserve">4.5 </w:t>
      </w:r>
      <w:r>
        <w:rPr>
          <w:rFonts w:ascii="Calibri" w:hAnsi="Calibri"/>
          <w:b/>
          <w:i w:val="0"/>
          <w:color w:val="333333"/>
          <w:sz w:val="22"/>
        </w:rPr>
        <w:t>Cancer pain</w:t>
      </w:r>
    </w:p>
    <w:p>
      <w:pPr>
        <w:spacing w:after="80" w:before="0"/>
      </w:pPr>
      <w:r>
        <w:rPr>
          <w:rFonts w:ascii="Calibri" w:hAnsi="Calibri"/>
          <w:b w:val="0"/>
          <w:i w:val="0"/>
          <w:sz w:val="20"/>
        </w:rPr>
        <w:t>Mixed picture. Earlier Phase 2/3 trials of Sativex (Johnson 2010, Portenoy 2012) showed modest benefit; subsequent Phase 3s (Lichtman 2018) failed primary endpoints in advanced cancer. CBD monotherapy is not supported. UK use is off-label and increasingly contested.</w:t>
      </w:r>
    </w:p>
    <w:tbl>
      <w:tblPr>
        <w:tblStyle w:val="TableGrid"/>
        <w:tblW w:type="auto" w:w="0"/>
        <w:tblLook w:firstColumn="1" w:firstRow="1" w:lastColumn="0" w:lastRow="0" w:noHBand="0" w:noVBand="1" w:val="04A0"/>
      </w:tblPr>
      <w:tblGrid>
        <w:gridCol w:w="9972"/>
      </w:tblGrid>
      <w:tr>
        <w:tc>
          <w:tcPr>
            <w:tcW w:type="dxa" w:w="9972"/>
            <w:tcBorders>
              <w:top w:val="single" w:sz="2" w:space="0" w:color="4338CA"/>
              <w:bottom w:val="single" w:sz="2" w:space="0" w:color="4338CA"/>
              <w:left w:val="single" w:sz="12" w:space="0" w:color="4338CA"/>
              <w:right w:val="single" w:sz="2" w:space="0" w:color="4338CA"/>
            </w:tcBorders>
          </w:tcPr>
          <w:p>
            <w:r/>
            <w:r>
              <w:rPr>
                <w:rFonts w:ascii="Calibri" w:hAnsi="Calibri"/>
                <w:b/>
                <w:color w:val="4338CA"/>
                <w:sz w:val="18"/>
              </w:rPr>
              <w:t>Verdict: Evidence signal exists; mixed Phase 3 results. Level 3.</w:t>
            </w:r>
          </w:p>
        </w:tc>
      </w:tr>
    </w:tbl>
    <w:p>
      <w:pPr>
        <w:spacing w:after="200" w:before="0"/>
      </w:pPr>
      <w:r>
        <w:rPr>
          <w:rFonts w:ascii="Calibri" w:hAnsi="Calibri"/>
          <w:b w:val="0"/>
          <w:i/>
          <w:color w:val="999999"/>
          <w:sz w:val="16"/>
        </w:rPr>
        <w:t>References: 18, 22, 23, 24</w:t>
      </w:r>
    </w:p>
    <w:p>
      <w:pPr>
        <w:spacing w:after="80" w:before="0"/>
      </w:pPr>
      <w:r>
        <w:rPr>
          <w:rFonts w:ascii="Calibri" w:hAnsi="Calibri"/>
          <w:b/>
          <w:i w:val="0"/>
          <w:color w:val="333333"/>
          <w:sz w:val="22"/>
        </w:rPr>
        <w:t xml:space="preserve">4.6 </w:t>
      </w:r>
      <w:r>
        <w:rPr>
          <w:rFonts w:ascii="Calibri" w:hAnsi="Calibri"/>
          <w:b/>
          <w:i w:val="0"/>
          <w:color w:val="333333"/>
          <w:sz w:val="22"/>
        </w:rPr>
        <w:t>Chronic neuropathic pain</w:t>
      </w:r>
    </w:p>
    <w:p>
      <w:pPr>
        <w:spacing w:after="80" w:before="0"/>
      </w:pPr>
      <w:r>
        <w:rPr>
          <w:rFonts w:ascii="Calibri" w:hAnsi="Calibri"/>
          <w:b w:val="0"/>
          <w:i w:val="0"/>
          <w:sz w:val="20"/>
        </w:rPr>
        <w:t>Whiting 2015 meta-analysis and subsequent reviews show modest effects for CBD:THC combinations on central neuropathic pain. CBD monotherapy data are weak. THC monotherapy at therapeutic doses is poorly tolerated in non-cancer neuropathic pain. UK guidance does not support routine cannabinoid prescribing for chronic pain; exceptional specialist/research use only.</w:t>
      </w:r>
    </w:p>
    <w:tbl>
      <w:tblPr>
        <w:tblStyle w:val="TableGrid"/>
        <w:tblW w:type="auto" w:w="0"/>
        <w:tblLook w:firstColumn="1" w:firstRow="1" w:lastColumn="0" w:lastRow="0" w:noHBand="0" w:noVBand="1" w:val="04A0"/>
      </w:tblPr>
      <w:tblGrid>
        <w:gridCol w:w="9972"/>
      </w:tblGrid>
      <w:tr>
        <w:tc>
          <w:tcPr>
            <w:tcW w:type="dxa" w:w="9972"/>
            <w:tcBorders>
              <w:top w:val="single" w:sz="2" w:space="0" w:color="4338CA"/>
              <w:bottom w:val="single" w:sz="2" w:space="0" w:color="4338CA"/>
              <w:left w:val="single" w:sz="12" w:space="0" w:color="4338CA"/>
              <w:right w:val="single" w:sz="2" w:space="0" w:color="4338CA"/>
            </w:tcBorders>
          </w:tcPr>
          <w:p>
            <w:r/>
            <w:r>
              <w:rPr>
                <w:rFonts w:ascii="Calibri" w:hAnsi="Calibri"/>
                <w:b/>
                <w:color w:val="4338CA"/>
                <w:sz w:val="18"/>
              </w:rPr>
              <w:t>Verdict: Evidence signal exists; UK guidance caution. Level 3.</w:t>
            </w:r>
          </w:p>
        </w:tc>
      </w:tr>
    </w:tbl>
    <w:p>
      <w:pPr>
        <w:spacing w:after="200" w:before="0"/>
      </w:pPr>
      <w:r>
        <w:rPr>
          <w:rFonts w:ascii="Calibri" w:hAnsi="Calibri"/>
          <w:b w:val="0"/>
          <w:i/>
          <w:color w:val="999999"/>
          <w:sz w:val="16"/>
        </w:rPr>
        <w:t>References: 18, 22, 23, 24</w:t>
      </w:r>
    </w:p>
    <w:p>
      <w:pPr>
        <w:spacing w:after="80" w:before="0"/>
      </w:pPr>
      <w:r>
        <w:rPr>
          <w:rFonts w:ascii="Calibri" w:hAnsi="Calibri"/>
          <w:b/>
          <w:i w:val="0"/>
          <w:color w:val="333333"/>
          <w:sz w:val="22"/>
        </w:rPr>
        <w:t xml:space="preserve">4.7 </w:t>
      </w:r>
      <w:r>
        <w:rPr>
          <w:rFonts w:ascii="Calibri" w:hAnsi="Calibri"/>
          <w:b/>
          <w:i w:val="0"/>
          <w:color w:val="333333"/>
          <w:sz w:val="22"/>
        </w:rPr>
        <w:t>Schizophrenia</w:t>
      </w:r>
    </w:p>
    <w:p>
      <w:pPr>
        <w:spacing w:after="80" w:before="0"/>
      </w:pPr>
      <w:r>
        <w:rPr>
          <w:rFonts w:ascii="Calibri" w:hAnsi="Calibri"/>
          <w:b w:val="0"/>
          <w:i w:val="0"/>
          <w:sz w:val="20"/>
        </w:rPr>
        <w:t>Leweke 2012 (CBD vs amisulpride; comparable efficacy with better tolerability) and McGuire 2018 (CBD adjunct, 600 to 800 mg/day; positive primary endpoint) support CBD as adjunctive therapy. Boggs 2018 was negative at lower dose. THC is contraindicated and is associated with psychosis-onset.</w:t>
      </w:r>
    </w:p>
    <w:tbl>
      <w:tblPr>
        <w:tblStyle w:val="TableGrid"/>
        <w:tblW w:type="auto" w:w="0"/>
        <w:tblLook w:firstColumn="1" w:firstRow="1" w:lastColumn="0" w:lastRow="0" w:noHBand="0" w:noVBand="1" w:val="04A0"/>
      </w:tblPr>
      <w:tblGrid>
        <w:gridCol w:w="9972"/>
      </w:tblGrid>
      <w:tr>
        <w:tc>
          <w:tcPr>
            <w:tcW w:type="dxa" w:w="9972"/>
            <w:tcBorders>
              <w:top w:val="single" w:sz="2" w:space="0" w:color="0F766E"/>
              <w:bottom w:val="single" w:sz="2" w:space="0" w:color="0F766E"/>
              <w:left w:val="single" w:sz="12" w:space="0" w:color="0F766E"/>
              <w:right w:val="single" w:sz="2" w:space="0" w:color="0F766E"/>
            </w:tcBorders>
          </w:tcPr>
          <w:p>
            <w:r/>
            <w:r>
              <w:rPr>
                <w:rFonts w:ascii="Calibri" w:hAnsi="Calibri"/>
                <w:b/>
                <w:color w:val="0F766E"/>
                <w:sz w:val="18"/>
              </w:rPr>
              <w:t>Verdict: CBD has only positive evidence; THC contraindicated. Level 3.</w:t>
            </w:r>
          </w:p>
        </w:tc>
      </w:tr>
    </w:tbl>
    <w:p>
      <w:pPr>
        <w:spacing w:after="200" w:before="0"/>
      </w:pPr>
      <w:r>
        <w:rPr>
          <w:rFonts w:ascii="Calibri" w:hAnsi="Calibri"/>
          <w:b w:val="0"/>
          <w:i/>
          <w:color w:val="999999"/>
          <w:sz w:val="16"/>
        </w:rPr>
        <w:t>References: 5, 6, 7, 8</w:t>
      </w:r>
    </w:p>
    <w:p>
      <w:pPr>
        <w:spacing w:after="80" w:before="0"/>
      </w:pPr>
      <w:r>
        <w:rPr>
          <w:rFonts w:ascii="Calibri" w:hAnsi="Calibri"/>
          <w:b/>
          <w:i w:val="0"/>
          <w:color w:val="333333"/>
          <w:sz w:val="22"/>
        </w:rPr>
        <w:t xml:space="preserve">4.8 </w:t>
      </w:r>
      <w:r>
        <w:rPr>
          <w:rFonts w:ascii="Calibri" w:hAnsi="Calibri"/>
          <w:b/>
          <w:i w:val="0"/>
          <w:color w:val="333333"/>
          <w:sz w:val="22"/>
        </w:rPr>
        <w:t>Social anxiety / acute performance anxiety</w:t>
      </w:r>
    </w:p>
    <w:p>
      <w:pPr>
        <w:spacing w:after="80" w:before="0"/>
      </w:pPr>
      <w:r>
        <w:rPr>
          <w:rFonts w:ascii="Calibri" w:hAnsi="Calibri"/>
          <w:b w:val="0"/>
          <w:i w:val="0"/>
          <w:sz w:val="20"/>
        </w:rPr>
        <w:t>CBD has multiple acute-dosing RCTs in social anxiety (Bergamaschi 2011, Crippa 2011, Linares 2019) showing reductions in anticipatory and performance anxiety at 300 to 600 mg single doses. No chronic-dosing Phase 3 data. THC at low doses can be anxiolytic but at higher doses is anxiogenic and triggers panic attacks.</w:t>
      </w:r>
    </w:p>
    <w:tbl>
      <w:tblPr>
        <w:tblStyle w:val="TableGrid"/>
        <w:tblW w:type="auto" w:w="0"/>
        <w:tblLook w:firstColumn="1" w:firstRow="1" w:lastColumn="0" w:lastRow="0" w:noHBand="0" w:noVBand="1" w:val="04A0"/>
      </w:tblPr>
      <w:tblGrid>
        <w:gridCol w:w="9972"/>
      </w:tblGrid>
      <w:tr>
        <w:tc>
          <w:tcPr>
            <w:tcW w:type="dxa" w:w="9972"/>
            <w:tcBorders>
              <w:top w:val="single" w:sz="2" w:space="0" w:color="0F766E"/>
              <w:bottom w:val="single" w:sz="2" w:space="0" w:color="0F766E"/>
              <w:left w:val="single" w:sz="12" w:space="0" w:color="0F766E"/>
              <w:right w:val="single" w:sz="2" w:space="0" w:color="0F766E"/>
            </w:tcBorders>
          </w:tcPr>
          <w:p>
            <w:r/>
            <w:r>
              <w:rPr>
                <w:rFonts w:ascii="Calibri" w:hAnsi="Calibri"/>
                <w:b/>
                <w:color w:val="0F766E"/>
                <w:sz w:val="18"/>
              </w:rPr>
              <w:t>Verdict: CBD has small acute-dose RCT support; not licensed. Level 3.</w:t>
            </w:r>
          </w:p>
        </w:tc>
      </w:tr>
    </w:tbl>
    <w:p>
      <w:pPr>
        <w:spacing w:after="200" w:before="0"/>
      </w:pPr>
      <w:r>
        <w:rPr>
          <w:rFonts w:ascii="Calibri" w:hAnsi="Calibri"/>
          <w:b w:val="0"/>
          <w:i/>
          <w:color w:val="999999"/>
          <w:sz w:val="16"/>
        </w:rPr>
        <w:t>References: 9, 10, 11</w:t>
      </w:r>
    </w:p>
    <w:p>
      <w:pPr>
        <w:spacing w:after="80" w:before="0"/>
      </w:pPr>
      <w:r>
        <w:rPr>
          <w:rFonts w:ascii="Calibri" w:hAnsi="Calibri"/>
          <w:b/>
          <w:i w:val="0"/>
          <w:color w:val="333333"/>
          <w:sz w:val="22"/>
        </w:rPr>
        <w:t xml:space="preserve">4.9 </w:t>
      </w:r>
      <w:r>
        <w:rPr>
          <w:rFonts w:ascii="Calibri" w:hAnsi="Calibri"/>
          <w:b/>
          <w:i w:val="0"/>
          <w:color w:val="333333"/>
          <w:sz w:val="22"/>
        </w:rPr>
        <w:t>Generalised anxiety disorder</w:t>
      </w:r>
    </w:p>
    <w:p>
      <w:pPr>
        <w:spacing w:after="80" w:before="0"/>
      </w:pPr>
      <w:r>
        <w:rPr>
          <w:rFonts w:ascii="Calibri" w:hAnsi="Calibri"/>
          <w:b w:val="0"/>
          <w:i w:val="0"/>
          <w:sz w:val="20"/>
        </w:rPr>
        <w:t>No chronic-dosing Phase 3 data for CBD in generalised anxiety disorder. Evidence extrapolated from acute social anxiety studies; chronic GAD efficacy not established. THC is unsuitable due to anxiogenic risk at higher doses.</w:t>
      </w:r>
    </w:p>
    <w:tbl>
      <w:tblPr>
        <w:tblStyle w:val="TableGrid"/>
        <w:tblW w:type="auto" w:w="0"/>
        <w:tblLook w:firstColumn="1" w:firstRow="1" w:lastColumn="0" w:lastRow="0" w:noHBand="0" w:noVBand="1" w:val="04A0"/>
      </w:tblPr>
      <w:tblGrid>
        <w:gridCol w:w="9972"/>
      </w:tblGrid>
      <w:tr>
        <w:tc>
          <w:tcPr>
            <w:tcW w:type="dxa" w:w="9972"/>
            <w:tcBorders>
              <w:top w:val="single" w:sz="2" w:space="0" w:color="0F766E"/>
              <w:bottom w:val="single" w:sz="2" w:space="0" w:color="0F766E"/>
              <w:left w:val="single" w:sz="12" w:space="0" w:color="0F766E"/>
              <w:right w:val="single" w:sz="2" w:space="0" w:color="0F766E"/>
            </w:tcBorders>
          </w:tcPr>
          <w:p>
            <w:r/>
            <w:r>
              <w:rPr>
                <w:rFonts w:ascii="Calibri" w:hAnsi="Calibri"/>
                <w:b/>
                <w:color w:val="0F766E"/>
                <w:sz w:val="18"/>
              </w:rPr>
              <w:t>Verdict: CBD has emerging signal; chronic efficacy not established. Level 4.</w:t>
            </w:r>
          </w:p>
        </w:tc>
      </w:tr>
    </w:tbl>
    <w:p>
      <w:pPr>
        <w:spacing w:after="200" w:before="0"/>
      </w:pPr>
      <w:r>
        <w:rPr>
          <w:rFonts w:ascii="Calibri" w:hAnsi="Calibri"/>
          <w:b w:val="0"/>
          <w:i/>
          <w:color w:val="999999"/>
          <w:sz w:val="16"/>
        </w:rPr>
        <w:t>References: 9, 10, 11</w:t>
      </w:r>
    </w:p>
    <w:p>
      <w:pPr>
        <w:spacing w:after="80" w:before="0"/>
      </w:pPr>
      <w:r>
        <w:rPr>
          <w:rFonts w:ascii="Calibri" w:hAnsi="Calibri"/>
          <w:b/>
          <w:i w:val="0"/>
          <w:color w:val="333333"/>
          <w:sz w:val="22"/>
        </w:rPr>
        <w:t xml:space="preserve">4.10 </w:t>
      </w:r>
      <w:r>
        <w:rPr>
          <w:rFonts w:ascii="Calibri" w:hAnsi="Calibri"/>
          <w:b/>
          <w:i w:val="0"/>
          <w:color w:val="333333"/>
          <w:sz w:val="22"/>
        </w:rPr>
        <w:t>PTSD</w:t>
      </w:r>
    </w:p>
    <w:p>
      <w:pPr>
        <w:spacing w:after="80" w:before="0"/>
      </w:pPr>
      <w:r>
        <w:rPr>
          <w:rFonts w:ascii="Calibri" w:hAnsi="Calibri"/>
          <w:b w:val="0"/>
          <w:i w:val="0"/>
          <w:sz w:val="20"/>
        </w:rPr>
        <w:t>Limited prospective RCT evidence. Elms 2019 case series (11 patients, oral CBD adjunctive) and Bonn-Miller 2021 open-label data suggest CBD reduces PTSD symptom severity. Smoked cannabis observational work is methodologically weaker and confounded by THC.</w:t>
      </w:r>
    </w:p>
    <w:tbl>
      <w:tblPr>
        <w:tblStyle w:val="TableGrid"/>
        <w:tblW w:type="auto" w:w="0"/>
        <w:tblLook w:firstColumn="1" w:firstRow="1" w:lastColumn="0" w:lastRow="0" w:noHBand="0" w:noVBand="1" w:val="04A0"/>
      </w:tblPr>
      <w:tblGrid>
        <w:gridCol w:w="9972"/>
      </w:tblGrid>
      <w:tr>
        <w:tc>
          <w:tcPr>
            <w:tcW w:type="dxa" w:w="9972"/>
            <w:tcBorders>
              <w:top w:val="single" w:sz="2" w:space="0" w:color="0F766E"/>
              <w:bottom w:val="single" w:sz="2" w:space="0" w:color="0F766E"/>
              <w:left w:val="single" w:sz="12" w:space="0" w:color="0F766E"/>
              <w:right w:val="single" w:sz="2" w:space="0" w:color="0F766E"/>
            </w:tcBorders>
          </w:tcPr>
          <w:p>
            <w:r/>
            <w:r>
              <w:rPr>
                <w:rFonts w:ascii="Calibri" w:hAnsi="Calibri"/>
                <w:b/>
                <w:color w:val="0F766E"/>
                <w:sz w:val="18"/>
              </w:rPr>
              <w:t>Verdict: CBD has emerging signal; investigational only. Level 4.</w:t>
            </w:r>
          </w:p>
        </w:tc>
      </w:tr>
    </w:tbl>
    <w:p>
      <w:pPr>
        <w:spacing w:after="200" w:before="0"/>
      </w:pPr>
      <w:r>
        <w:rPr>
          <w:rFonts w:ascii="Calibri" w:hAnsi="Calibri"/>
          <w:b w:val="0"/>
          <w:i/>
          <w:color w:val="999999"/>
          <w:sz w:val="16"/>
        </w:rPr>
        <w:t>References: 12, 25</w:t>
      </w:r>
    </w:p>
    <w:p>
      <w:pPr>
        <w:spacing w:after="80" w:before="0"/>
      </w:pPr>
      <w:r>
        <w:rPr>
          <w:rFonts w:ascii="Calibri" w:hAnsi="Calibri"/>
          <w:b/>
          <w:i w:val="0"/>
          <w:color w:val="333333"/>
          <w:sz w:val="22"/>
        </w:rPr>
        <w:t xml:space="preserve">4.11 </w:t>
      </w:r>
      <w:r>
        <w:rPr>
          <w:rFonts w:ascii="Calibri" w:hAnsi="Calibri"/>
          <w:b/>
          <w:i w:val="0"/>
          <w:color w:val="333333"/>
          <w:sz w:val="22"/>
        </w:rPr>
        <w:t>Tourette's syndrome</w:t>
      </w:r>
    </w:p>
    <w:p>
      <w:pPr>
        <w:spacing w:after="80" w:before="0"/>
      </w:pPr>
      <w:r>
        <w:rPr>
          <w:rFonts w:ascii="Calibri" w:hAnsi="Calibri"/>
          <w:b w:val="0"/>
          <w:i w:val="0"/>
          <w:sz w:val="20"/>
        </w:rPr>
        <w:t>Muller-Vahl small Phase 2 work supports nabilone (THC analogue) for tic reduction. CBD has minimal data. Off-label use under specialist supervision.</w:t>
      </w:r>
    </w:p>
    <w:tbl>
      <w:tblPr>
        <w:tblStyle w:val="TableGrid"/>
        <w:tblW w:type="auto" w:w="0"/>
        <w:tblLook w:firstColumn="1" w:firstRow="1" w:lastColumn="0" w:lastRow="0" w:noHBand="0" w:noVBand="1" w:val="04A0"/>
      </w:tblPr>
      <w:tblGrid>
        <w:gridCol w:w="9972"/>
      </w:tblGrid>
      <w:tr>
        <w:tc>
          <w:tcPr>
            <w:tcW w:type="dxa" w:w="9972"/>
            <w:tcBorders>
              <w:top w:val="single" w:sz="2" w:space="0" w:color="B45309"/>
              <w:bottom w:val="single" w:sz="2" w:space="0" w:color="B45309"/>
              <w:left w:val="single" w:sz="12" w:space="0" w:color="B45309"/>
              <w:right w:val="single" w:sz="2" w:space="0" w:color="B45309"/>
            </w:tcBorders>
          </w:tcPr>
          <w:p>
            <w:r/>
            <w:r>
              <w:rPr>
                <w:rFonts w:ascii="Calibri" w:hAnsi="Calibri"/>
                <w:b/>
                <w:color w:val="B45309"/>
                <w:sz w:val="18"/>
              </w:rPr>
              <w:t>Verdict: THC analogue has limited supportive data. Level 3.</w:t>
            </w:r>
          </w:p>
        </w:tc>
      </w:tr>
    </w:tbl>
    <w:p>
      <w:pPr>
        <w:spacing w:after="200" w:before="0"/>
      </w:pPr>
      <w:r>
        <w:rPr>
          <w:rFonts w:ascii="Calibri" w:hAnsi="Calibri"/>
          <w:b w:val="0"/>
          <w:i/>
          <w:color w:val="999999"/>
          <w:sz w:val="16"/>
        </w:rPr>
        <w:t>References: 19</w:t>
      </w:r>
    </w:p>
    <w:p>
      <w:pPr>
        <w:spacing w:after="80" w:before="0"/>
      </w:pPr>
      <w:r>
        <w:rPr>
          <w:rFonts w:ascii="Calibri" w:hAnsi="Calibri"/>
          <w:b/>
          <w:i w:val="0"/>
          <w:color w:val="333333"/>
          <w:sz w:val="22"/>
        </w:rPr>
        <w:t xml:space="preserve">4.12 </w:t>
      </w:r>
      <w:r>
        <w:rPr>
          <w:rFonts w:ascii="Calibri" w:hAnsi="Calibri"/>
          <w:b/>
          <w:i w:val="0"/>
          <w:color w:val="333333"/>
          <w:sz w:val="22"/>
        </w:rPr>
        <w:t>Insomnia</w:t>
      </w:r>
    </w:p>
    <w:p>
      <w:pPr>
        <w:spacing w:after="80" w:before="0"/>
      </w:pPr>
      <w:r>
        <w:rPr>
          <w:rFonts w:ascii="Calibri" w:hAnsi="Calibri"/>
          <w:b w:val="0"/>
          <w:i w:val="0"/>
          <w:sz w:val="20"/>
        </w:rPr>
        <w:t>Neither CBD nor THC has robust Phase 3 evidence in primary insomnia. Narayan 2024 pilot RCT (150 mg nightly CBD) provides initial controlled data supporting Level 4/Emerging. THC reduces sleep latency acutely but disrupts architecture and shows tolerance. CBD is the preferred molecule where a cannabinoid is considered.</w:t>
      </w:r>
    </w:p>
    <w:tbl>
      <w:tblPr>
        <w:tblStyle w:val="TableGrid"/>
        <w:tblW w:type="auto" w:w="0"/>
        <w:tblLook w:firstColumn="1" w:firstRow="1" w:lastColumn="0" w:lastRow="0" w:noHBand="0" w:noVBand="1" w:val="04A0"/>
      </w:tblPr>
      <w:tblGrid>
        <w:gridCol w:w="9972"/>
      </w:tblGrid>
      <w:tr>
        <w:tc>
          <w:tcPr>
            <w:tcW w:type="dxa" w:w="9972"/>
            <w:tcBorders>
              <w:top w:val="single" w:sz="2" w:space="0" w:color="0F766E"/>
              <w:bottom w:val="single" w:sz="2" w:space="0" w:color="0F766E"/>
              <w:left w:val="single" w:sz="12" w:space="0" w:color="0F766E"/>
              <w:right w:val="single" w:sz="2" w:space="0" w:color="0F766E"/>
            </w:tcBorders>
          </w:tcPr>
          <w:p>
            <w:r/>
            <w:r>
              <w:rPr>
                <w:rFonts w:ascii="Calibri" w:hAnsi="Calibri"/>
                <w:b/>
                <w:color w:val="0F766E"/>
                <w:sz w:val="18"/>
              </w:rPr>
              <w:t>Verdict: CBD has emerging pilot data; THC not preferred. Level 4.</w:t>
            </w:r>
          </w:p>
        </w:tc>
      </w:tr>
    </w:tbl>
    <w:p>
      <w:pPr>
        <w:spacing w:after="200" w:before="0"/>
      </w:pPr>
      <w:r>
        <w:rPr>
          <w:rFonts w:ascii="Calibri" w:hAnsi="Calibri"/>
          <w:b w:val="0"/>
          <w:i/>
          <w:color w:val="999999"/>
          <w:sz w:val="16"/>
        </w:rPr>
        <w:t>References: 26</w:t>
      </w:r>
    </w:p>
    <w:p>
      <w:pPr>
        <w:spacing w:after="80" w:before="0"/>
      </w:pPr>
      <w:r>
        <w:rPr>
          <w:rFonts w:ascii="Calibri" w:hAnsi="Calibri"/>
          <w:b/>
          <w:i w:val="0"/>
          <w:color w:val="333333"/>
          <w:sz w:val="22"/>
        </w:rPr>
        <w:t xml:space="preserve">4.13 </w:t>
      </w:r>
      <w:r>
        <w:rPr>
          <w:rFonts w:ascii="Calibri" w:hAnsi="Calibri"/>
          <w:b/>
          <w:i w:val="0"/>
          <w:color w:val="333333"/>
          <w:sz w:val="22"/>
        </w:rPr>
        <w:t>Parkinson's disease</w:t>
      </w:r>
    </w:p>
    <w:p>
      <w:pPr>
        <w:spacing w:after="80" w:before="0"/>
      </w:pPr>
      <w:r>
        <w:rPr>
          <w:rFonts w:ascii="Calibri" w:hAnsi="Calibri"/>
          <w:b w:val="0"/>
          <w:i w:val="0"/>
          <w:sz w:val="20"/>
        </w:rPr>
        <w:t>Small RCTs (Chagas 2014; Peball 2020 in REM sleep behaviour disorder) suggest CBD may help non-motor symptoms; motor evidence is weaker. THC has no evidence base here.</w:t>
      </w:r>
    </w:p>
    <w:tbl>
      <w:tblPr>
        <w:tblStyle w:val="TableGrid"/>
        <w:tblW w:type="auto" w:w="0"/>
        <w:tblLook w:firstColumn="1" w:firstRow="1" w:lastColumn="0" w:lastRow="0" w:noHBand="0" w:noVBand="1" w:val="04A0"/>
      </w:tblPr>
      <w:tblGrid>
        <w:gridCol w:w="9972"/>
      </w:tblGrid>
      <w:tr>
        <w:tc>
          <w:tcPr>
            <w:tcW w:type="dxa" w:w="9972"/>
            <w:tcBorders>
              <w:top w:val="single" w:sz="2" w:space="0" w:color="0F766E"/>
              <w:bottom w:val="single" w:sz="2" w:space="0" w:color="0F766E"/>
              <w:left w:val="single" w:sz="12" w:space="0" w:color="0F766E"/>
              <w:right w:val="single" w:sz="2" w:space="0" w:color="0F766E"/>
            </w:tcBorders>
          </w:tcPr>
          <w:p>
            <w:r/>
            <w:r>
              <w:rPr>
                <w:rFonts w:ascii="Calibri" w:hAnsi="Calibri"/>
                <w:b/>
                <w:color w:val="0F766E"/>
                <w:sz w:val="18"/>
              </w:rPr>
              <w:t>Verdict: CBD has weak signal; non-motor symptoms only. Level 4.</w:t>
            </w:r>
          </w:p>
        </w:tc>
      </w:tr>
    </w:tbl>
    <w:p>
      <w:pPr>
        <w:spacing w:after="200" w:before="0"/>
      </w:pPr>
      <w:r>
        <w:rPr>
          <w:rFonts w:ascii="Calibri" w:hAnsi="Calibri"/>
          <w:b w:val="0"/>
          <w:i/>
          <w:color w:val="999999"/>
          <w:sz w:val="16"/>
        </w:rPr>
        <w:t>References: 15</w:t>
      </w:r>
    </w:p>
    <w:p>
      <w:pPr>
        <w:spacing w:after="80" w:before="0"/>
      </w:pPr>
      <w:r>
        <w:rPr>
          <w:rFonts w:ascii="Calibri" w:hAnsi="Calibri"/>
          <w:b/>
          <w:i w:val="0"/>
          <w:color w:val="333333"/>
          <w:sz w:val="22"/>
        </w:rPr>
        <w:t xml:space="preserve">4.14 </w:t>
      </w:r>
      <w:r>
        <w:rPr>
          <w:rFonts w:ascii="Calibri" w:hAnsi="Calibri"/>
          <w:b/>
          <w:i w:val="0"/>
          <w:color w:val="333333"/>
          <w:sz w:val="22"/>
        </w:rPr>
        <w:t>Substance use disorders</w:t>
      </w:r>
    </w:p>
    <w:p>
      <w:pPr>
        <w:spacing w:after="80" w:before="0"/>
      </w:pPr>
      <w:r>
        <w:rPr>
          <w:rFonts w:ascii="Calibri" w:hAnsi="Calibri"/>
          <w:b w:val="0"/>
          <w:i w:val="0"/>
          <w:sz w:val="20"/>
        </w:rPr>
        <w:t>Hurd 2019 (heroin cravings, Phase 2 RCT) and Freeman 2020 (cannabis use disorder, Phase 2) are the principal positive CBD signals. THC is contraindicated in addiction medicine.</w:t>
      </w:r>
    </w:p>
    <w:tbl>
      <w:tblPr>
        <w:tblStyle w:val="TableGrid"/>
        <w:tblW w:type="auto" w:w="0"/>
        <w:tblLook w:firstColumn="1" w:firstRow="1" w:lastColumn="0" w:lastRow="0" w:noHBand="0" w:noVBand="1" w:val="04A0"/>
      </w:tblPr>
      <w:tblGrid>
        <w:gridCol w:w="9972"/>
      </w:tblGrid>
      <w:tr>
        <w:tc>
          <w:tcPr>
            <w:tcW w:type="dxa" w:w="9972"/>
            <w:tcBorders>
              <w:top w:val="single" w:sz="2" w:space="0" w:color="0F766E"/>
              <w:bottom w:val="single" w:sz="2" w:space="0" w:color="0F766E"/>
              <w:left w:val="single" w:sz="12" w:space="0" w:color="0F766E"/>
              <w:right w:val="single" w:sz="2" w:space="0" w:color="0F766E"/>
            </w:tcBorders>
          </w:tcPr>
          <w:p>
            <w:r/>
            <w:r>
              <w:rPr>
                <w:rFonts w:ascii="Calibri" w:hAnsi="Calibri"/>
                <w:b/>
                <w:color w:val="0F766E"/>
                <w:sz w:val="18"/>
              </w:rPr>
              <w:t>Verdict: CBD has emerging Phase 2 support; THC contraindicated. Level 3.</w:t>
            </w:r>
          </w:p>
        </w:tc>
      </w:tr>
    </w:tbl>
    <w:p>
      <w:pPr>
        <w:spacing w:after="200" w:before="0"/>
      </w:pPr>
      <w:r>
        <w:rPr>
          <w:rFonts w:ascii="Calibri" w:hAnsi="Calibri"/>
          <w:b w:val="0"/>
          <w:i/>
          <w:color w:val="999999"/>
          <w:sz w:val="16"/>
        </w:rPr>
        <w:t>References: 13, 14</w:t>
      </w:r>
    </w:p>
    <w:p>
      <w:pPr>
        <w:spacing w:after="80" w:before="0"/>
      </w:pPr>
      <w:r>
        <w:rPr>
          <w:rFonts w:ascii="Calibri" w:hAnsi="Calibri"/>
          <w:b/>
          <w:i w:val="0"/>
          <w:color w:val="333333"/>
          <w:sz w:val="22"/>
        </w:rPr>
        <w:t xml:space="preserve">4.15 </w:t>
      </w:r>
      <w:r>
        <w:rPr>
          <w:rFonts w:ascii="Calibri" w:hAnsi="Calibri"/>
          <w:b/>
          <w:i w:val="0"/>
          <w:color w:val="333333"/>
          <w:sz w:val="22"/>
        </w:rPr>
        <w:t>Autism spectrum disorder</w:t>
      </w:r>
    </w:p>
    <w:p>
      <w:pPr>
        <w:spacing w:after="80" w:before="0"/>
      </w:pPr>
      <w:r>
        <w:rPr>
          <w:rFonts w:ascii="Calibri" w:hAnsi="Calibri"/>
          <w:b w:val="0"/>
          <w:i w:val="0"/>
          <w:sz w:val="20"/>
        </w:rPr>
        <w:t>Aran 2019 RCT of CBD-rich extract (CBD:THC 20:1) in children with severe autism showed modest improvements in disruptive behaviour and anxiety. THC monotherapy not appropriate.</w:t>
      </w:r>
    </w:p>
    <w:tbl>
      <w:tblPr>
        <w:tblStyle w:val="TableGrid"/>
        <w:tblW w:type="auto" w:w="0"/>
        <w:tblLook w:firstColumn="1" w:firstRow="1" w:lastColumn="0" w:lastRow="0" w:noHBand="0" w:noVBand="1" w:val="04A0"/>
      </w:tblPr>
      <w:tblGrid>
        <w:gridCol w:w="9972"/>
      </w:tblGrid>
      <w:tr>
        <w:tc>
          <w:tcPr>
            <w:tcW w:type="dxa" w:w="9972"/>
            <w:tcBorders>
              <w:top w:val="single" w:sz="2" w:space="0" w:color="0F766E"/>
              <w:bottom w:val="single" w:sz="2" w:space="0" w:color="0F766E"/>
              <w:left w:val="single" w:sz="12" w:space="0" w:color="0F766E"/>
              <w:right w:val="single" w:sz="2" w:space="0" w:color="0F766E"/>
            </w:tcBorders>
          </w:tcPr>
          <w:p>
            <w:r/>
            <w:r>
              <w:rPr>
                <w:rFonts w:ascii="Calibri" w:hAnsi="Calibri"/>
                <w:b/>
                <w:color w:val="0F766E"/>
                <w:sz w:val="18"/>
              </w:rPr>
              <w:t>Verdict: CBD-enriched has weak signal; specialist supervision essential. Level 4.</w:t>
            </w:r>
          </w:p>
        </w:tc>
      </w:tr>
    </w:tbl>
    <w:p>
      <w:pPr>
        <w:spacing w:after="200" w:before="0"/>
      </w:pPr>
      <w:r>
        <w:rPr>
          <w:rFonts w:ascii="Calibri" w:hAnsi="Calibri"/>
          <w:b w:val="0"/>
          <w:i/>
          <w:color w:val="999999"/>
          <w:sz w:val="16"/>
        </w:rPr>
        <w:t>References: 15</w:t>
      </w:r>
    </w:p>
    <w:p>
      <w:pPr>
        <w:spacing w:after="80" w:before="0"/>
      </w:pPr>
      <w:r>
        <w:rPr>
          <w:rFonts w:ascii="Calibri" w:hAnsi="Calibri"/>
          <w:b/>
          <w:i w:val="0"/>
          <w:color w:val="333333"/>
          <w:sz w:val="22"/>
        </w:rPr>
        <w:t xml:space="preserve">4.16 </w:t>
      </w:r>
      <w:r>
        <w:rPr>
          <w:rFonts w:ascii="Calibri" w:hAnsi="Calibri"/>
          <w:b/>
          <w:i w:val="0"/>
          <w:color w:val="333333"/>
          <w:sz w:val="22"/>
        </w:rPr>
        <w:t>Traumatic brain injury / TBI sequelae</w:t>
      </w:r>
    </w:p>
    <w:p>
      <w:pPr>
        <w:spacing w:after="80" w:before="0"/>
      </w:pPr>
      <w:r>
        <w:rPr>
          <w:rFonts w:ascii="Calibri" w:hAnsi="Calibri"/>
          <w:b w:val="0"/>
          <w:i w:val="0"/>
          <w:sz w:val="20"/>
        </w:rPr>
        <w:t>CBD is the preferred investigational molecule based on neuroprotective and anti-inflammatory rationale. Aychman 2023 review supports CBD neuroprotective rationale but does not establish human efficacy. Evidence base is primarily preclinical/mechanistic.</w:t>
      </w:r>
    </w:p>
    <w:tbl>
      <w:tblPr>
        <w:tblStyle w:val="TableGrid"/>
        <w:tblW w:type="auto" w:w="0"/>
        <w:tblLook w:firstColumn="1" w:firstRow="1" w:lastColumn="0" w:lastRow="0" w:noHBand="0" w:noVBand="1" w:val="04A0"/>
      </w:tblPr>
      <w:tblGrid>
        <w:gridCol w:w="9972"/>
      </w:tblGrid>
      <w:tr>
        <w:tc>
          <w:tcPr>
            <w:tcW w:type="dxa" w:w="9972"/>
            <w:tcBorders>
              <w:top w:val="single" w:sz="2" w:space="0" w:color="0F766E"/>
              <w:bottom w:val="single" w:sz="2" w:space="0" w:color="0F766E"/>
              <w:left w:val="single" w:sz="12" w:space="0" w:color="0F766E"/>
              <w:right w:val="single" w:sz="2" w:space="0" w:color="0F766E"/>
            </w:tcBorders>
          </w:tcPr>
          <w:p>
            <w:r/>
            <w:r>
              <w:rPr>
                <w:rFonts w:ascii="Calibri" w:hAnsi="Calibri"/>
                <w:b/>
                <w:color w:val="0F766E"/>
                <w:sz w:val="18"/>
              </w:rPr>
              <w:t>Verdict: CBD investigational (preclinical); THC unsuitable. Level 5.</w:t>
            </w:r>
          </w:p>
        </w:tc>
      </w:tr>
    </w:tbl>
    <w:p>
      <w:pPr>
        <w:spacing w:after="200" w:before="0"/>
      </w:pPr>
      <w:r>
        <w:rPr>
          <w:rFonts w:ascii="Calibri" w:hAnsi="Calibri"/>
          <w:b w:val="0"/>
          <w:i/>
          <w:color w:val="999999"/>
          <w:sz w:val="16"/>
        </w:rPr>
        <w:t>References: 27</w:t>
      </w:r>
    </w:p>
    <w:p>
      <w:r>
        <w:br w:type="page"/>
      </w:r>
    </w:p>
    <w:p>
      <w:pPr>
        <w:spacing w:after="160" w:before="0"/>
      </w:pPr>
      <w:r>
        <w:rPr>
          <w:rFonts w:ascii="Calibri" w:hAnsi="Calibri"/>
          <w:b/>
          <w:i w:val="0"/>
          <w:color w:val="333333"/>
          <w:sz w:val="28"/>
        </w:rPr>
        <w:t>Section 5: UK Regulatory Framing</w:t>
      </w:r>
    </w:p>
    <w:p>
      <w:pPr>
        <w:spacing w:after="120" w:before="0"/>
      </w:pPr>
      <w:r>
        <w:rPr>
          <w:rFonts w:ascii="Calibri" w:hAnsi="Calibri"/>
          <w:b w:val="0"/>
          <w:i w:val="0"/>
          <w:sz w:val="20"/>
        </w:rPr>
        <w:t>Within UK practice, cannabinoid-based therapies sit across three regulatory categories that prescribers should explicitly identify before prescribing.</w:t>
      </w:r>
    </w:p>
    <w:p>
      <w:pPr>
        <w:spacing w:after="120" w:before="0"/>
      </w:pPr>
      <w:r>
        <w:rPr>
          <w:rFonts w:ascii="Calibri" w:hAnsi="Calibri"/>
          <w:b/>
          <w:i w:val="0"/>
          <w:color w:val="333333"/>
          <w:sz w:val="20"/>
        </w:rPr>
        <w:t xml:space="preserve">Licensed medicines </w:t>
      </w:r>
      <w:r>
        <w:rPr>
          <w:rFonts w:ascii="Calibri" w:hAnsi="Calibri"/>
          <w:b w:val="0"/>
          <w:i w:val="0"/>
          <w:sz w:val="20"/>
        </w:rPr>
        <w:t>(full UK marketing authorisation): Epidyolex (cannabidiol; specific epilepsy indications), Sativex (nabiximols; MS spasticity), Cesamet (nabilone; CINV).</w:t>
      </w:r>
    </w:p>
    <w:p>
      <w:pPr>
        <w:spacing w:after="120" w:before="0"/>
      </w:pPr>
      <w:r>
        <w:rPr>
          <w:rFonts w:ascii="Calibri" w:hAnsi="Calibri"/>
          <w:b/>
          <w:i w:val="0"/>
          <w:color w:val="333333"/>
          <w:sz w:val="20"/>
        </w:rPr>
        <w:t xml:space="preserve">Cannabis-based products for medicinal use (CBPM) </w:t>
      </w:r>
      <w:r>
        <w:rPr>
          <w:rFonts w:ascii="Calibri" w:hAnsi="Calibri"/>
          <w:b w:val="0"/>
          <w:i w:val="0"/>
          <w:sz w:val="20"/>
        </w:rPr>
        <w:t>under the Misuse of Drugs Regulations 2018, Schedule 2: any product containing THC above trace levels that is unlicensed. Prescribing restricted to specialists on the GMC Specialist Register; mandatory entry on the national CBPM registry.</w:t>
      </w:r>
    </w:p>
    <w:p>
      <w:pPr>
        <w:spacing w:after="120" w:before="0"/>
      </w:pPr>
      <w:r>
        <w:rPr>
          <w:rFonts w:ascii="Calibri" w:hAnsi="Calibri"/>
          <w:b/>
          <w:i w:val="0"/>
          <w:color w:val="333333"/>
          <w:sz w:val="20"/>
        </w:rPr>
        <w:t xml:space="preserve">Pure CBD pharmaceutical-grade products with negligible THC </w:t>
      </w:r>
      <w:r>
        <w:rPr>
          <w:rFonts w:ascii="Calibri" w:hAnsi="Calibri"/>
          <w:b w:val="0"/>
          <w:i w:val="0"/>
          <w:sz w:val="20"/>
        </w:rPr>
        <w:t xml:space="preserve">that fall outside the CBPM legal definition and are therefore unlicensed medicines under the broader MHRA Specials framework, not subject to Schedule 2 obligations or the Specialist Register restriction. </w:t>
      </w:r>
      <w:r>
        <w:rPr>
          <w:rFonts w:ascii="Calibri" w:hAnsi="Calibri"/>
          <w:b w:val="0"/>
          <w:i/>
          <w:color w:val="555555"/>
          <w:sz w:val="20"/>
        </w:rPr>
        <w:t>Note: this regulatory position should be confirmed by formal legal opinion before being relied on externally.</w:t>
      </w:r>
    </w:p>
    <w:p>
      <w:pPr>
        <w:spacing w:after="240" w:before="0"/>
      </w:pPr>
      <w:r>
        <w:rPr>
          <w:rFonts w:ascii="Calibri" w:hAnsi="Calibri"/>
          <w:b w:val="0"/>
          <w:i w:val="0"/>
          <w:sz w:val="20"/>
        </w:rPr>
        <w:t>Specials prescribing requires: a particular patient under specialist care; a clinically appropriate special need not met by a licensed medicine; the prescribing physician's clinical responsibility; compliance with MHRA reporting, batch-traceability, and pharmacovigilance obligations.</w:t>
      </w:r>
    </w:p>
    <w:p>
      <w:r>
        <w:br w:type="page"/>
      </w:r>
    </w:p>
    <w:p>
      <w:pPr>
        <w:spacing w:after="160" w:before="0"/>
      </w:pPr>
      <w:r>
        <w:rPr>
          <w:rFonts w:ascii="Calibri" w:hAnsi="Calibri"/>
          <w:b/>
          <w:i w:val="0"/>
          <w:color w:val="333333"/>
          <w:sz w:val="28"/>
        </w:rPr>
        <w:t>Section 6: References</w:t>
      </w:r>
    </w:p>
    <w:p>
      <w:pPr>
        <w:spacing w:after="160" w:before="0"/>
      </w:pPr>
      <w:r>
        <w:rPr>
          <w:rFonts w:ascii="Calibri" w:hAnsi="Calibri"/>
          <w:b w:val="0"/>
          <w:i/>
          <w:color w:val="555555"/>
          <w:sz w:val="18"/>
        </w:rPr>
        <w:t>References require independent verification. Several have been compiled from secondary sources and DOIs are not included; cross-check against PubMed before any prescriber-facing or regulatory use.</w:t>
      </w:r>
    </w:p>
    <w:p>
      <w:pPr>
        <w:spacing w:after="40" w:before="0"/>
      </w:pPr>
      <w:r>
        <w:rPr>
          <w:rFonts w:ascii="Calibri" w:hAnsi="Calibri"/>
          <w:b w:val="0"/>
          <w:i w:val="0"/>
          <w:sz w:val="16"/>
        </w:rPr>
        <w:t>1. Devinsky O et al. Trial of cannabidiol for drug-resistant seizures in the Dravet syndrome. NEJM 2017;376(21):2011-2020.</w:t>
      </w:r>
    </w:p>
    <w:p>
      <w:pPr>
        <w:spacing w:after="40" w:before="0"/>
      </w:pPr>
      <w:r>
        <w:rPr>
          <w:rFonts w:ascii="Calibri" w:hAnsi="Calibri"/>
          <w:b w:val="0"/>
          <w:i w:val="0"/>
          <w:sz w:val="16"/>
        </w:rPr>
        <w:t>2. Devinsky O et al. Effect of cannabidiol on drop seizures in the Lennox-Gastaut syndrome. NEJM 2018;378(20):1888-1897.</w:t>
      </w:r>
    </w:p>
    <w:p>
      <w:pPr>
        <w:spacing w:after="40" w:before="0"/>
      </w:pPr>
      <w:r>
        <w:rPr>
          <w:rFonts w:ascii="Calibri" w:hAnsi="Calibri"/>
          <w:b w:val="0"/>
          <w:i w:val="0"/>
          <w:sz w:val="16"/>
        </w:rPr>
        <w:t>3. Thiele EA et al. Cannabidiol in patients with seizures associated with Lennox-Gastaut syndrome (GWPCARE4): a randomised, double-blind, placebo-controlled phase 3 trial. Lancet 2018;391(10125):1085-1096.</w:t>
      </w:r>
    </w:p>
    <w:p>
      <w:pPr>
        <w:spacing w:after="40" w:before="0"/>
      </w:pPr>
      <w:r>
        <w:rPr>
          <w:rFonts w:ascii="Calibri" w:hAnsi="Calibri"/>
          <w:b w:val="0"/>
          <w:i w:val="0"/>
          <w:sz w:val="16"/>
        </w:rPr>
        <w:t>4. Thiele EA et al. Add-on cannabidiol treatment for drug-resistant seizures in tuberous sclerosis complex. JAMA Neurol 2021;78(3):285-292.</w:t>
      </w:r>
    </w:p>
    <w:p>
      <w:pPr>
        <w:spacing w:after="40" w:before="0"/>
      </w:pPr>
      <w:r>
        <w:rPr>
          <w:rFonts w:ascii="Calibri" w:hAnsi="Calibri"/>
          <w:b w:val="0"/>
          <w:i w:val="0"/>
          <w:sz w:val="16"/>
        </w:rPr>
        <w:t>5. Leweke FM et al. Cannabidiol enhances anandamide signaling and alleviates psychotic symptoms of schizophrenia. Transl Psychiatry 2012;2:e94.</w:t>
      </w:r>
    </w:p>
    <w:p>
      <w:pPr>
        <w:spacing w:after="40" w:before="0"/>
      </w:pPr>
      <w:r>
        <w:rPr>
          <w:rFonts w:ascii="Calibri" w:hAnsi="Calibri"/>
          <w:b w:val="0"/>
          <w:i w:val="0"/>
          <w:sz w:val="16"/>
        </w:rPr>
        <w:t>6. McGuire P et al. Cannabidiol (CBD) as an adjunctive therapy in schizophrenia: a multicenter randomized controlled trial. Am J Psychiatry 2018;175(3):225-231.</w:t>
      </w:r>
    </w:p>
    <w:p>
      <w:pPr>
        <w:spacing w:after="40" w:before="0"/>
      </w:pPr>
      <w:r>
        <w:rPr>
          <w:rFonts w:ascii="Calibri" w:hAnsi="Calibri"/>
          <w:b w:val="0"/>
          <w:i w:val="0"/>
          <w:sz w:val="16"/>
        </w:rPr>
        <w:t>7. Boggs DL et al. The effects of cannabidiol on cognition and symptoms in outpatients with chronic schizophrenia. Psychopharmacology 2018;235(7):1923-1932.</w:t>
      </w:r>
    </w:p>
    <w:p>
      <w:pPr>
        <w:spacing w:after="40" w:before="0"/>
      </w:pPr>
      <w:r>
        <w:rPr>
          <w:rFonts w:ascii="Calibri" w:hAnsi="Calibri"/>
          <w:b w:val="0"/>
          <w:i w:val="0"/>
          <w:sz w:val="16"/>
        </w:rPr>
        <w:t>8. Bhattacharyya S et al. Effect of cannabidiol on medial temporal, midbrain, and striatal dysfunction in people at clinical high risk of psychosis. JAMA Psychiatry 2018;75(11):1107-1117.</w:t>
      </w:r>
    </w:p>
    <w:p>
      <w:pPr>
        <w:spacing w:after="40" w:before="0"/>
      </w:pPr>
      <w:r>
        <w:rPr>
          <w:rFonts w:ascii="Calibri" w:hAnsi="Calibri"/>
          <w:b w:val="0"/>
          <w:i w:val="0"/>
          <w:sz w:val="16"/>
        </w:rPr>
        <w:t>9. Bergamaschi MM et al. Cannabidiol reduces the anxiety induced by simulated public speaking in treatment-naive social phobia patients. Neuropsychopharmacology 2011;36(6):1219-1226.</w:t>
      </w:r>
    </w:p>
    <w:p>
      <w:pPr>
        <w:spacing w:after="40" w:before="0"/>
      </w:pPr>
      <w:r>
        <w:rPr>
          <w:rFonts w:ascii="Calibri" w:hAnsi="Calibri"/>
          <w:b w:val="0"/>
          <w:i w:val="0"/>
          <w:sz w:val="16"/>
        </w:rPr>
        <w:t>10. Crippa JA et al. Neural basis of anxiolytic effects of cannabidiol (CBD) in generalized social anxiety disorder. J Psychopharmacol 2011;25(1):121-130.</w:t>
      </w:r>
    </w:p>
    <w:p>
      <w:pPr>
        <w:spacing w:after="40" w:before="0"/>
      </w:pPr>
      <w:r>
        <w:rPr>
          <w:rFonts w:ascii="Calibri" w:hAnsi="Calibri"/>
          <w:b w:val="0"/>
          <w:i w:val="0"/>
          <w:sz w:val="16"/>
        </w:rPr>
        <w:t>11. Linares IM et al. Cannabidiol presents an inverted U-shaped dose-response curve in a simulated public speaking test. Braz J Psychiatry 2019;41(1):9-14.</w:t>
      </w:r>
    </w:p>
    <w:p>
      <w:pPr>
        <w:spacing w:after="40" w:before="0"/>
      </w:pPr>
      <w:r>
        <w:rPr>
          <w:rFonts w:ascii="Calibri" w:hAnsi="Calibri"/>
          <w:b w:val="0"/>
          <w:i w:val="0"/>
          <w:sz w:val="16"/>
        </w:rPr>
        <w:t>12. Bonn-Miller MO et al. The short-term impact of 3 smoked cannabis preparations versus placebo on PTSD symptoms. PLoS One 2021;16(3):e0246990.</w:t>
      </w:r>
    </w:p>
    <w:p>
      <w:pPr>
        <w:spacing w:after="40" w:before="0"/>
      </w:pPr>
      <w:r>
        <w:rPr>
          <w:rFonts w:ascii="Calibri" w:hAnsi="Calibri"/>
          <w:b w:val="0"/>
          <w:i w:val="0"/>
          <w:sz w:val="16"/>
        </w:rPr>
        <w:t>13. Hurd YL et al. Cannabidiol for the reduction of cue-induced craving and anxiety in drug-abstinent individuals with heroin use disorder. Am J Psychiatry 2019;176(11):911-922.</w:t>
      </w:r>
    </w:p>
    <w:p>
      <w:pPr>
        <w:spacing w:after="40" w:before="0"/>
      </w:pPr>
      <w:r>
        <w:rPr>
          <w:rFonts w:ascii="Calibri" w:hAnsi="Calibri"/>
          <w:b w:val="0"/>
          <w:i w:val="0"/>
          <w:sz w:val="16"/>
        </w:rPr>
        <w:t>14. Freeman TP et al. Cannabidiol for the treatment of cannabis use disorder: a phase 2a, double-blind, placebo-controlled, randomised, adaptive Bayesian trial. Lancet Psychiatry 2020;7(10):865-874.</w:t>
      </w:r>
    </w:p>
    <w:p>
      <w:pPr>
        <w:spacing w:after="40" w:before="0"/>
      </w:pPr>
      <w:r>
        <w:rPr>
          <w:rFonts w:ascii="Calibri" w:hAnsi="Calibri"/>
          <w:b w:val="0"/>
          <w:i w:val="0"/>
          <w:sz w:val="16"/>
        </w:rPr>
        <w:t>15. Aran A et al. Cannabidiol based medical cannabis in children with autism: a retrospective feasibility study. Neuropsychopharmacology 2019.</w:t>
      </w:r>
    </w:p>
    <w:p>
      <w:pPr>
        <w:spacing w:after="40" w:before="0"/>
      </w:pPr>
      <w:r>
        <w:rPr>
          <w:rFonts w:ascii="Calibri" w:hAnsi="Calibri"/>
          <w:b w:val="0"/>
          <w:i w:val="0"/>
          <w:sz w:val="16"/>
        </w:rPr>
        <w:t>16. Beal JE et al. Dronabinol as a treatment for anorexia associated with weight loss in patients with AIDS. J Pain Symptom Manage 1995;10(2):89-97.</w:t>
      </w:r>
    </w:p>
    <w:p>
      <w:pPr>
        <w:spacing w:after="40" w:before="0"/>
      </w:pPr>
      <w:r>
        <w:rPr>
          <w:rFonts w:ascii="Calibri" w:hAnsi="Calibri"/>
          <w:b w:val="0"/>
          <w:i w:val="0"/>
          <w:sz w:val="16"/>
        </w:rPr>
        <w:t>17. Tramer MR et al. Cannabinoids for control of chemotherapy induced nausea and vomiting: quantitative systematic review. BMJ 2001;323(7303):16-21.</w:t>
      </w:r>
    </w:p>
    <w:p>
      <w:pPr>
        <w:spacing w:after="40" w:before="0"/>
      </w:pPr>
      <w:r>
        <w:rPr>
          <w:rFonts w:ascii="Calibri" w:hAnsi="Calibri"/>
          <w:b w:val="0"/>
          <w:i w:val="0"/>
          <w:sz w:val="16"/>
        </w:rPr>
        <w:t>18. Whiting PF et al. Cannabinoids for medical use: a systematic review and meta-analysis. JAMA 2015;313(24):2456-2473.</w:t>
      </w:r>
    </w:p>
    <w:p>
      <w:pPr>
        <w:spacing w:after="40" w:before="0"/>
      </w:pPr>
      <w:r>
        <w:rPr>
          <w:rFonts w:ascii="Calibri" w:hAnsi="Calibri"/>
          <w:b w:val="0"/>
          <w:i w:val="0"/>
          <w:sz w:val="16"/>
        </w:rPr>
        <w:t>19. Muller-Vahl KR et al. Treatment of Tourette syndrome with delta-9-tetrahydrocannabinol. Pharmacopsychiatry 2003.</w:t>
      </w:r>
    </w:p>
    <w:p>
      <w:pPr>
        <w:spacing w:after="40" w:before="0"/>
      </w:pPr>
      <w:r>
        <w:rPr>
          <w:rFonts w:ascii="Calibri" w:hAnsi="Calibri"/>
          <w:b w:val="0"/>
          <w:i w:val="0"/>
          <w:sz w:val="16"/>
        </w:rPr>
        <w:t>20. Collin C et al. Randomized controlled trial of cannabis-based medicine in spasticity caused by multiple sclerosis. Eur J Neurol 2007;14(3):290-296.</w:t>
      </w:r>
    </w:p>
    <w:p>
      <w:pPr>
        <w:spacing w:after="40" w:before="0"/>
      </w:pPr>
      <w:r>
        <w:rPr>
          <w:rFonts w:ascii="Calibri" w:hAnsi="Calibri"/>
          <w:b w:val="0"/>
          <w:i w:val="0"/>
          <w:sz w:val="16"/>
        </w:rPr>
        <w:t>21. Novotna A et al. A randomized, double-blind, placebo-controlled, parallel-group, enriched-design study of nabiximols (Sativex) in patients with refractory spasticity caused by multiple sclerosis. Eur J Neurol 2011;18(9):1122-1131.</w:t>
      </w:r>
    </w:p>
    <w:p>
      <w:pPr>
        <w:spacing w:after="40" w:before="0"/>
      </w:pPr>
      <w:r>
        <w:rPr>
          <w:rFonts w:ascii="Calibri" w:hAnsi="Calibri"/>
          <w:b w:val="0"/>
          <w:i w:val="0"/>
          <w:sz w:val="16"/>
        </w:rPr>
        <w:t>22. Johnson JR et al. Multicenter, double-blind, randomized, placebo-controlled, parallel-group study of THC:CBD extract and THC extract in patients with intractable cancer-related pain. J Pain Symptom Manage 2010;39(2):167-179.</w:t>
      </w:r>
    </w:p>
    <w:p>
      <w:pPr>
        <w:spacing w:after="40" w:before="0"/>
      </w:pPr>
      <w:r>
        <w:rPr>
          <w:rFonts w:ascii="Calibri" w:hAnsi="Calibri"/>
          <w:b w:val="0"/>
          <w:i w:val="0"/>
          <w:sz w:val="16"/>
        </w:rPr>
        <w:t>23. Portenoy RK et al. Nabiximols for opioid-treated cancer patients with poorly-controlled chronic pain. J Pain 2012;13(5):438-449.</w:t>
      </w:r>
    </w:p>
    <w:p>
      <w:pPr>
        <w:spacing w:after="40" w:before="0"/>
      </w:pPr>
      <w:r>
        <w:rPr>
          <w:rFonts w:ascii="Calibri" w:hAnsi="Calibri"/>
          <w:b w:val="0"/>
          <w:i w:val="0"/>
          <w:sz w:val="16"/>
        </w:rPr>
        <w:t>24. Lichtman AH et al. Results of a double-blind, randomized, placebo-controlled study of nabiximols oromucosal spray as an adjunctive therapy in advanced cancer patients with chronic uncontrolled pain. J Pain Symptom Manage 2018;55(2):179-188.</w:t>
      </w:r>
    </w:p>
    <w:p>
      <w:pPr>
        <w:spacing w:after="40" w:before="0"/>
      </w:pPr>
      <w:r>
        <w:rPr>
          <w:rFonts w:ascii="Calibri" w:hAnsi="Calibri"/>
          <w:b w:val="0"/>
          <w:i w:val="0"/>
          <w:sz w:val="16"/>
        </w:rPr>
        <w:t>25. Elms L et al. Cannabidiol in the Treatment of Post-Traumatic Stress Disorder: A Case Series. J Altern Complement Med. 2019.</w:t>
      </w:r>
    </w:p>
    <w:p>
      <w:pPr>
        <w:spacing w:after="40" w:before="0"/>
      </w:pPr>
      <w:r>
        <w:rPr>
          <w:rFonts w:ascii="Calibri" w:hAnsi="Calibri"/>
          <w:b w:val="0"/>
          <w:i w:val="0"/>
          <w:sz w:val="16"/>
        </w:rPr>
        <w:t>26. Narayan AJ et al. Cannabidiol for moderate-severe insomnia: a randomized controlled pilot trial of 150 mg nightly dosing. J Clin Sleep Med. 2024;20(5):753-763.</w:t>
      </w:r>
    </w:p>
    <w:p>
      <w:pPr>
        <w:spacing w:after="40" w:before="0"/>
      </w:pPr>
      <w:r>
        <w:rPr>
          <w:rFonts w:ascii="Calibri" w:hAnsi="Calibri"/>
          <w:b w:val="0"/>
          <w:i w:val="0"/>
          <w:sz w:val="16"/>
        </w:rPr>
        <w:t>27. Aychman MM et al. Cannabidiol's neuroprotective properties and potential treatment of traumatic brain injuries. Front Neurol. 2023.</w:t>
      </w:r>
    </w:p>
    <w:p>
      <w:r>
        <w:br w:type="page"/>
      </w:r>
    </w:p>
    <w:p>
      <w:pPr>
        <w:spacing w:after="160" w:before="0"/>
      </w:pPr>
      <w:r>
        <w:rPr>
          <w:rFonts w:ascii="Calibri" w:hAnsi="Calibri"/>
          <w:b/>
          <w:i w:val="0"/>
          <w:color w:val="333333"/>
          <w:sz w:val="28"/>
        </w:rPr>
        <w:t>Section 7: Caveats and Limitations</w:t>
      </w:r>
    </w:p>
    <w:p>
      <w:pPr>
        <w:spacing w:after="120" w:before="0"/>
      </w:pPr>
      <w:r>
        <w:rPr>
          <w:rFonts w:ascii="Calibri" w:hAnsi="Calibri"/>
          <w:b w:val="0"/>
          <w:i w:val="0"/>
          <w:sz w:val="20"/>
        </w:rPr>
        <w:t>References require independent verification. Several have been compiled from secondary sources and DOIs are not included; cross-check against PubMed before any prescriber-facing or regulatory use.</w:t>
      </w:r>
    </w:p>
    <w:p>
      <w:pPr>
        <w:spacing w:after="120" w:before="0"/>
      </w:pPr>
      <w:r>
        <w:rPr>
          <w:rFonts w:ascii="Calibri" w:hAnsi="Calibri"/>
          <w:b w:val="0"/>
          <w:i w:val="0"/>
          <w:sz w:val="20"/>
        </w:rPr>
        <w:t>Evidence levels reflect strength of clinical evidence, not appropriateness in individual cases. A Level 1 indication does not mean cannabinoids are first-line. A Level 4 indication does not preclude appropriate Specials use.</w:t>
      </w:r>
    </w:p>
    <w:p>
      <w:pPr>
        <w:spacing w:after="120" w:before="0"/>
      </w:pPr>
      <w:r>
        <w:rPr>
          <w:rFonts w:ascii="Calibri" w:hAnsi="Calibri"/>
          <w:b w:val="0"/>
          <w:i w:val="0"/>
          <w:sz w:val="20"/>
        </w:rPr>
        <w:t>The prevailing-molecule verdict is an answer to a narrow question: where adequate evidence exists, which cannabinoid has the stronger data. Full clinical decision-making must consider patient-specific factors, contraindications, drug interactions (particularly CBD-CYP450 interactions), and licensing status.</w:t>
      </w:r>
    </w:p>
    <w:p>
      <w:pPr>
        <w:spacing w:after="120" w:before="0"/>
      </w:pPr>
      <w:r>
        <w:rPr>
          <w:rFonts w:ascii="Calibri" w:hAnsi="Calibri"/>
          <w:b w:val="0"/>
          <w:i w:val="0"/>
          <w:sz w:val="20"/>
        </w:rPr>
        <w:t>THC contraindications apply across most psychiatric indications: personal or family history of psychotic disorders, active substance use disorder, pregnancy, severe cardiovascular disease.</w:t>
      </w:r>
    </w:p>
    <w:p>
      <w:pPr>
        <w:spacing w:after="120" w:before="0"/>
      </w:pPr>
      <w:r>
        <w:rPr>
          <w:rFonts w:ascii="Calibri" w:hAnsi="Calibri"/>
          <w:b w:val="0"/>
          <w:i w:val="0"/>
          <w:sz w:val="20"/>
        </w:rPr>
        <w:t>CBD-class hepatic monitoring per Epidyolex labelling: baseline and periodic LFTs given documented transaminase elevations at high doses, particularly with concomitant valproate.</w:t>
      </w:r>
    </w:p>
    <w:p>
      <w:pPr>
        <w:spacing w:after="120" w:before="0"/>
      </w:pPr>
      <w:r>
        <w:rPr>
          <w:rFonts w:ascii="Calibri" w:hAnsi="Calibri"/>
          <w:b w:val="0"/>
          <w:i w:val="0"/>
          <w:sz w:val="20"/>
        </w:rPr>
        <w:t>Inclusion in this matrix does not imply suitability for prescribing under the UK Specials framework; each case requires patient-specific clinical justification and product-specific regulatory review.</w:t>
      </w:r>
    </w:p>
    <w:p>
      <w:pPr>
        <w:spacing w:after="120" w:before="0"/>
      </w:pPr>
      <w:r>
        <w:rPr>
          <w:rFonts w:ascii="Calibri" w:hAnsi="Calibri"/>
          <w:b w:val="0"/>
          <w:i w:val="0"/>
          <w:sz w:val="20"/>
        </w:rPr>
        <w:t>This document is non-promotional and does not constitute medical advice.</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999999"/>
        <w:sz w:val="14"/>
      </w:rPr>
      <w:t>Cannabinoid Therapeutics: Clinical Evidence Reference | Version 1.0 | 27 April 2026 | Non-promotional. For prescriber reference only. Not medical advice.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