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E293B"/>
          <w:sz w:val="32"/>
        </w:rPr>
        <w:t>Cannabinoid Drug-Interaction Quick-Reference Card</w:t>
      </w:r>
    </w:p>
    <w:p>
      <w:pPr>
        <w:jc w:val="center"/>
      </w:pPr>
      <w:r>
        <w:rPr>
          <w:color w:val="64748B"/>
          <w:sz w:val="18"/>
        </w:rPr>
        <w:t>Non-promotional clinical reference for UK prescribers  |  Working Draft v1.0</w:t>
      </w:r>
    </w:p>
    <w:p>
      <w:pPr>
        <w:jc w:val="center"/>
      </w:pPr>
      <w:r>
        <w:rPr>
          <w:b/>
          <w:i w:val="0"/>
          <w:color w:val="1E293B"/>
          <w:sz w:val="18"/>
        </w:rPr>
        <w:t xml:space="preserve">Severity Key:  </w:t>
      </w:r>
      <w:r>
        <w:rPr>
          <w:b/>
          <w:i w:val="0"/>
          <w:color w:val="DC2626"/>
          <w:sz w:val="18"/>
        </w:rPr>
        <w:t xml:space="preserve">  RED = High severity / contraindicated  </w:t>
      </w:r>
      <w:r>
        <w:rPr>
          <w:b/>
          <w:i w:val="0"/>
          <w:color w:val="B45309"/>
          <w:sz w:val="18"/>
        </w:rPr>
        <w:t xml:space="preserve">  AMBER = Moderate / monitor closely  </w:t>
      </w:r>
      <w:r>
        <w:rPr>
          <w:b/>
          <w:i w:val="0"/>
          <w:color w:val="0F766E"/>
          <w:sz w:val="18"/>
        </w:rPr>
        <w:t xml:space="preserve">  GREEN = Low / routine monitoring  </w:t>
      </w:r>
    </w:p>
    <w:p>
      <w:r>
        <w:rPr>
          <w:b/>
          <w:i w:val="0"/>
          <w:color w:val="0F766E"/>
          <w:sz w:val="22"/>
        </w:rPr>
        <w:t>CBD Pharmacokinetic Interactions (CYP3A4 &amp; CYP2C19 Inhibitor)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028"/>
        <w:gridCol w:w="3028"/>
        <w:gridCol w:w="3028"/>
        <w:gridCol w:w="3028"/>
        <w:gridCol w:w="3028"/>
      </w:tblGrid>
      <w:tr>
        <w:tc>
          <w:tcPr>
            <w:tcW w:type="dxa" w:w="2551"/>
            <w:shd w:fill="0F766E" w:val="clear"/>
          </w:tcPr>
          <w:p>
            <w:pPr>
              <w:jc w:val="left"/>
            </w:pPr>
            <w:r>
              <w:rPr>
                <w:b/>
                <w:color w:val="FFFFFF"/>
                <w:sz w:val="16"/>
              </w:rPr>
              <w:t>Interacting Drug/Class</w:t>
            </w:r>
          </w:p>
        </w:tc>
        <w:tc>
          <w:tcPr>
            <w:tcW w:type="dxa" w:w="2551"/>
            <w:shd w:fill="0F766E" w:val="clear"/>
          </w:tcPr>
          <w:p>
            <w:pPr>
              <w:jc w:val="left"/>
            </w:pPr>
            <w:r>
              <w:rPr>
                <w:b/>
                <w:color w:val="FFFFFF"/>
                <w:sz w:val="16"/>
              </w:rPr>
              <w:t>Mechanism</w:t>
            </w:r>
          </w:p>
        </w:tc>
        <w:tc>
          <w:tcPr>
            <w:tcW w:type="dxa" w:w="3969"/>
            <w:shd w:fill="0F766E" w:val="clear"/>
          </w:tcPr>
          <w:p>
            <w:pPr>
              <w:jc w:val="left"/>
            </w:pPr>
            <w:r>
              <w:rPr>
                <w:b/>
                <w:color w:val="FFFFFF"/>
                <w:sz w:val="16"/>
              </w:rPr>
              <w:t>Clinical Effect</w:t>
            </w:r>
          </w:p>
        </w:tc>
        <w:tc>
          <w:tcPr>
            <w:tcW w:type="dxa" w:w="1134"/>
            <w:shd w:fill="0F766E" w:val="clear"/>
          </w:tcPr>
          <w:p>
            <w:pPr>
              <w:jc w:val="left"/>
            </w:pPr>
            <w:r>
              <w:rPr>
                <w:b/>
                <w:color w:val="FFFFFF"/>
                <w:sz w:val="16"/>
              </w:rPr>
              <w:t>Severity</w:t>
            </w:r>
          </w:p>
        </w:tc>
        <w:tc>
          <w:tcPr>
            <w:tcW w:type="dxa" w:w="4819"/>
            <w:shd w:fill="0F766E" w:val="clear"/>
          </w:tcPr>
          <w:p>
            <w:pPr>
              <w:jc w:val="left"/>
            </w:pPr>
            <w:r>
              <w:rPr>
                <w:b/>
                <w:color w:val="FFFFFF"/>
                <w:sz w:val="16"/>
              </w:rPr>
              <w:t>Action Required</w:t>
            </w:r>
          </w:p>
        </w:tc>
      </w:tr>
      <w:tr>
        <w:tc>
          <w:tcPr>
            <w:tcW w:type="dxa" w:w="2551"/>
          </w:tcPr>
          <w:p>
            <w:r>
              <w:rPr>
                <w:b/>
                <w:color w:val="1E293B"/>
                <w:sz w:val="16"/>
              </w:rPr>
              <w:t>Clobazam</w:t>
            </w:r>
          </w:p>
        </w:tc>
        <w:tc>
          <w:tcPr>
            <w:tcW w:type="dxa" w:w="2551"/>
          </w:tcPr>
          <w:p>
            <w:r>
              <w:rPr>
                <w:color w:val="334155"/>
                <w:sz w:val="16"/>
              </w:rPr>
              <w:t>CYP3A4 + CYP2C19 inhibition</w:t>
            </w:r>
          </w:p>
        </w:tc>
        <w:tc>
          <w:tcPr>
            <w:tcW w:type="dxa" w:w="3969"/>
          </w:tcPr>
          <w:p>
            <w:r>
              <w:rPr>
                <w:color w:val="334155"/>
                <w:sz w:val="16"/>
              </w:rPr>
              <w:t>Increased N-desmethylclobazam levels (up to 5-fold)</w:t>
            </w:r>
          </w:p>
        </w:tc>
        <w:tc>
          <w:tcPr>
            <w:tcW w:type="dxa" w:w="1134"/>
            <w:shd w:fill="FEF2F2" w:val="clear"/>
          </w:tcPr>
          <w:p>
            <w:pPr>
              <w:jc w:val="center"/>
            </w:pPr>
            <w:r>
              <w:rPr>
                <w:b/>
                <w:color w:val="DC2626"/>
                <w:sz w:val="16"/>
              </w:rPr>
              <w:t>RED</w:t>
            </w:r>
          </w:p>
        </w:tc>
        <w:tc>
          <w:tcPr>
            <w:tcW w:type="dxa" w:w="4819"/>
          </w:tcPr>
          <w:p>
            <w:r>
              <w:rPr>
                <w:color w:val="334155"/>
                <w:sz w:val="16"/>
              </w:rPr>
              <w:t>Reduce clobazam dose by 50%. TDM recommended. Somnolence risk.</w:t>
            </w:r>
          </w:p>
        </w:tc>
      </w:tr>
      <w:tr>
        <w:tc>
          <w:tcPr>
            <w:tcW w:type="dxa" w:w="2551"/>
            <w:shd w:fill="F8FAFC" w:val="clear"/>
          </w:tcPr>
          <w:p>
            <w:r>
              <w:rPr>
                <w:b/>
                <w:color w:val="1E293B"/>
                <w:sz w:val="16"/>
              </w:rPr>
              <w:t>Valproate</w:t>
            </w:r>
          </w:p>
        </w:tc>
        <w:tc>
          <w:tcPr>
            <w:tcW w:type="dxa" w:w="2551"/>
            <w:shd w:fill="F8FAFC" w:val="clear"/>
          </w:tcPr>
          <w:p>
            <w:r>
              <w:rPr>
                <w:color w:val="334155"/>
                <w:sz w:val="16"/>
              </w:rPr>
              <w:t>UGT pathway + hepatic PD</w:t>
            </w:r>
          </w:p>
        </w:tc>
        <w:tc>
          <w:tcPr>
            <w:tcW w:type="dxa" w:w="3969"/>
            <w:shd w:fill="F8FAFC" w:val="clear"/>
          </w:tcPr>
          <w:p>
            <w:r>
              <w:rPr>
                <w:color w:val="334155"/>
                <w:sz w:val="16"/>
              </w:rPr>
              <w:t>Additive hepatotoxicity; transaminase elevations</w:t>
            </w:r>
          </w:p>
        </w:tc>
        <w:tc>
          <w:tcPr>
            <w:tcW w:type="dxa" w:w="1134"/>
            <w:shd w:fill="FEF2F2" w:val="clear"/>
          </w:tcPr>
          <w:p>
            <w:pPr>
              <w:jc w:val="center"/>
            </w:pPr>
            <w:r>
              <w:rPr>
                <w:b/>
                <w:color w:val="DC2626"/>
                <w:sz w:val="16"/>
              </w:rPr>
              <w:t>RED</w:t>
            </w:r>
          </w:p>
        </w:tc>
        <w:tc>
          <w:tcPr>
            <w:tcW w:type="dxa" w:w="4819"/>
            <w:shd w:fill="F8FAFC" w:val="clear"/>
          </w:tcPr>
          <w:p>
            <w:r>
              <w:rPr>
                <w:color w:val="334155"/>
                <w:sz w:val="16"/>
              </w:rPr>
              <w:t>Mandatory baseline and periodic LFTs per Epidyolex labelling.</w:t>
            </w:r>
          </w:p>
        </w:tc>
      </w:tr>
      <w:tr>
        <w:tc>
          <w:tcPr>
            <w:tcW w:type="dxa" w:w="2551"/>
          </w:tcPr>
          <w:p>
            <w:r>
              <w:rPr>
                <w:b/>
                <w:color w:val="1E293B"/>
                <w:sz w:val="16"/>
              </w:rPr>
              <w:t>Warfarin</w:t>
            </w:r>
          </w:p>
        </w:tc>
        <w:tc>
          <w:tcPr>
            <w:tcW w:type="dxa" w:w="2551"/>
          </w:tcPr>
          <w:p>
            <w:r>
              <w:rPr>
                <w:color w:val="334155"/>
                <w:sz w:val="16"/>
              </w:rPr>
              <w:t>CYP2C19 inhibition</w:t>
            </w:r>
          </w:p>
        </w:tc>
        <w:tc>
          <w:tcPr>
            <w:tcW w:type="dxa" w:w="3969"/>
          </w:tcPr>
          <w:p>
            <w:r>
              <w:rPr>
                <w:color w:val="334155"/>
                <w:sz w:val="16"/>
              </w:rPr>
              <w:t>Increased INR; enhanced anticoagulant effect</w:t>
            </w:r>
          </w:p>
        </w:tc>
        <w:tc>
          <w:tcPr>
            <w:tcW w:type="dxa" w:w="1134"/>
            <w:shd w:fill="FEF2F2" w:val="clear"/>
          </w:tcPr>
          <w:p>
            <w:pPr>
              <w:jc w:val="center"/>
            </w:pPr>
            <w:r>
              <w:rPr>
                <w:b/>
                <w:color w:val="DC2626"/>
                <w:sz w:val="16"/>
              </w:rPr>
              <w:t>RED</w:t>
            </w:r>
          </w:p>
        </w:tc>
        <w:tc>
          <w:tcPr>
            <w:tcW w:type="dxa" w:w="4819"/>
          </w:tcPr>
          <w:p>
            <w:r>
              <w:rPr>
                <w:color w:val="334155"/>
                <w:sz w:val="16"/>
              </w:rPr>
              <w:t>Close INR monitoring at initiation and dose changes. Dose reduction likely.</w:t>
            </w:r>
          </w:p>
        </w:tc>
      </w:tr>
      <w:tr>
        <w:tc>
          <w:tcPr>
            <w:tcW w:type="dxa" w:w="2551"/>
            <w:shd w:fill="F8FAFC" w:val="clear"/>
          </w:tcPr>
          <w:p>
            <w:r>
              <w:rPr>
                <w:b/>
                <w:color w:val="1E293B"/>
                <w:sz w:val="16"/>
              </w:rPr>
              <w:t>SSRIs (e.g. sertraline, citalopram)</w:t>
            </w:r>
          </w:p>
        </w:tc>
        <w:tc>
          <w:tcPr>
            <w:tcW w:type="dxa" w:w="2551"/>
            <w:shd w:fill="F8FAFC" w:val="clear"/>
          </w:tcPr>
          <w:p>
            <w:r>
              <w:rPr>
                <w:color w:val="334155"/>
                <w:sz w:val="16"/>
              </w:rPr>
              <w:t>CYP2C19 inhibition</w:t>
            </w:r>
          </w:p>
        </w:tc>
        <w:tc>
          <w:tcPr>
            <w:tcW w:type="dxa" w:w="3969"/>
            <w:shd w:fill="F8FAFC" w:val="clear"/>
          </w:tcPr>
          <w:p>
            <w:r>
              <w:rPr>
                <w:color w:val="334155"/>
                <w:sz w:val="16"/>
              </w:rPr>
              <w:t>Increased SSRI exposure</w:t>
            </w:r>
          </w:p>
        </w:tc>
        <w:tc>
          <w:tcPr>
            <w:tcW w:type="dxa" w:w="1134"/>
            <w:shd w:fill="FFFBEB" w:val="clear"/>
          </w:tcPr>
          <w:p>
            <w:pPr>
              <w:jc w:val="center"/>
            </w:pPr>
            <w:r>
              <w:rPr>
                <w:b/>
                <w:color w:val="B45309"/>
                <w:sz w:val="16"/>
              </w:rPr>
              <w:t>AMBER</w:t>
            </w:r>
          </w:p>
        </w:tc>
        <w:tc>
          <w:tcPr>
            <w:tcW w:type="dxa" w:w="4819"/>
            <w:shd w:fill="F8FAFC" w:val="clear"/>
          </w:tcPr>
          <w:p>
            <w:r>
              <w:rPr>
                <w:color w:val="334155"/>
                <w:sz w:val="16"/>
              </w:rPr>
              <w:t>Monitor for serotonergic effects. Consider dose reduction.</w:t>
            </w:r>
          </w:p>
        </w:tc>
      </w:tr>
      <w:tr>
        <w:tc>
          <w:tcPr>
            <w:tcW w:type="dxa" w:w="2551"/>
          </w:tcPr>
          <w:p>
            <w:r>
              <w:rPr>
                <w:b/>
                <w:color w:val="1E293B"/>
                <w:sz w:val="16"/>
              </w:rPr>
              <w:t>Midazolam / benzodiazepines</w:t>
            </w:r>
          </w:p>
        </w:tc>
        <w:tc>
          <w:tcPr>
            <w:tcW w:type="dxa" w:w="2551"/>
          </w:tcPr>
          <w:p>
            <w:r>
              <w:rPr>
                <w:color w:val="334155"/>
                <w:sz w:val="16"/>
              </w:rPr>
              <w:t>CYP3A4 inhibition</w:t>
            </w:r>
          </w:p>
        </w:tc>
        <w:tc>
          <w:tcPr>
            <w:tcW w:type="dxa" w:w="3969"/>
          </w:tcPr>
          <w:p>
            <w:r>
              <w:rPr>
                <w:color w:val="334155"/>
                <w:sz w:val="16"/>
              </w:rPr>
              <w:t>Increased sedation and respiratory depression risk</w:t>
            </w:r>
          </w:p>
        </w:tc>
        <w:tc>
          <w:tcPr>
            <w:tcW w:type="dxa" w:w="1134"/>
            <w:shd w:fill="FFFBEB" w:val="clear"/>
          </w:tcPr>
          <w:p>
            <w:pPr>
              <w:jc w:val="center"/>
            </w:pPr>
            <w:r>
              <w:rPr>
                <w:b/>
                <w:color w:val="B45309"/>
                <w:sz w:val="16"/>
              </w:rPr>
              <w:t>AMBER</w:t>
            </w:r>
          </w:p>
        </w:tc>
        <w:tc>
          <w:tcPr>
            <w:tcW w:type="dxa" w:w="4819"/>
          </w:tcPr>
          <w:p>
            <w:r>
              <w:rPr>
                <w:color w:val="334155"/>
                <w:sz w:val="16"/>
              </w:rPr>
              <w:t>Reduce benzodiazepine dose. Monitor sedation levels.</w:t>
            </w:r>
          </w:p>
        </w:tc>
      </w:tr>
      <w:tr>
        <w:tc>
          <w:tcPr>
            <w:tcW w:type="dxa" w:w="2551"/>
            <w:shd w:fill="F8FAFC" w:val="clear"/>
          </w:tcPr>
          <w:p>
            <w:r>
              <w:rPr>
                <w:b/>
                <w:color w:val="1E293B"/>
                <w:sz w:val="16"/>
              </w:rPr>
              <w:t>Tacrolimus / everolimus</w:t>
            </w:r>
          </w:p>
        </w:tc>
        <w:tc>
          <w:tcPr>
            <w:tcW w:type="dxa" w:w="2551"/>
            <w:shd w:fill="F8FAFC" w:val="clear"/>
          </w:tcPr>
          <w:p>
            <w:r>
              <w:rPr>
                <w:color w:val="334155"/>
                <w:sz w:val="16"/>
              </w:rPr>
              <w:t>CYP3A4 inhibition</w:t>
            </w:r>
          </w:p>
        </w:tc>
        <w:tc>
          <w:tcPr>
            <w:tcW w:type="dxa" w:w="3969"/>
            <w:shd w:fill="F8FAFC" w:val="clear"/>
          </w:tcPr>
          <w:p>
            <w:r>
              <w:rPr>
                <w:color w:val="334155"/>
                <w:sz w:val="16"/>
              </w:rPr>
              <w:t>Increased immunosuppressant levels</w:t>
            </w:r>
          </w:p>
        </w:tc>
        <w:tc>
          <w:tcPr>
            <w:tcW w:type="dxa" w:w="1134"/>
            <w:shd w:fill="FEF2F2" w:val="clear"/>
          </w:tcPr>
          <w:p>
            <w:pPr>
              <w:jc w:val="center"/>
            </w:pPr>
            <w:r>
              <w:rPr>
                <w:b/>
                <w:color w:val="DC2626"/>
                <w:sz w:val="16"/>
              </w:rPr>
              <w:t>RED</w:t>
            </w:r>
          </w:p>
        </w:tc>
        <w:tc>
          <w:tcPr>
            <w:tcW w:type="dxa" w:w="4819"/>
            <w:shd w:fill="F8FAFC" w:val="clear"/>
          </w:tcPr>
          <w:p>
            <w:r>
              <w:rPr>
                <w:color w:val="334155"/>
                <w:sz w:val="16"/>
              </w:rPr>
              <w:t>TDM mandatory. Dose reduction required. Nephrotoxicity risk.</w:t>
            </w:r>
          </w:p>
        </w:tc>
      </w:tr>
      <w:tr>
        <w:tc>
          <w:tcPr>
            <w:tcW w:type="dxa" w:w="2551"/>
          </w:tcPr>
          <w:p>
            <w:r>
              <w:rPr>
                <w:b/>
                <w:color w:val="1E293B"/>
                <w:sz w:val="16"/>
              </w:rPr>
              <w:t>Phenytoin</w:t>
            </w:r>
          </w:p>
        </w:tc>
        <w:tc>
          <w:tcPr>
            <w:tcW w:type="dxa" w:w="2551"/>
          </w:tcPr>
          <w:p>
            <w:r>
              <w:rPr>
                <w:color w:val="334155"/>
                <w:sz w:val="16"/>
              </w:rPr>
              <w:t>CYP2C19 inhibition</w:t>
            </w:r>
          </w:p>
        </w:tc>
        <w:tc>
          <w:tcPr>
            <w:tcW w:type="dxa" w:w="3969"/>
          </w:tcPr>
          <w:p>
            <w:r>
              <w:rPr>
                <w:color w:val="334155"/>
                <w:sz w:val="16"/>
              </w:rPr>
              <w:t>Increased phenytoin levels; toxicity risk</w:t>
            </w:r>
          </w:p>
        </w:tc>
        <w:tc>
          <w:tcPr>
            <w:tcW w:type="dxa" w:w="1134"/>
            <w:shd w:fill="FFFBEB" w:val="clear"/>
          </w:tcPr>
          <w:p>
            <w:pPr>
              <w:jc w:val="center"/>
            </w:pPr>
            <w:r>
              <w:rPr>
                <w:b/>
                <w:color w:val="B45309"/>
                <w:sz w:val="16"/>
              </w:rPr>
              <w:t>AMBER</w:t>
            </w:r>
          </w:p>
        </w:tc>
        <w:tc>
          <w:tcPr>
            <w:tcW w:type="dxa" w:w="4819"/>
          </w:tcPr>
          <w:p>
            <w:r>
              <w:rPr>
                <w:color w:val="334155"/>
                <w:sz w:val="16"/>
              </w:rPr>
              <w:t>TDM recommended. Monitor for ataxia, nystagmus.</w:t>
            </w:r>
          </w:p>
        </w:tc>
      </w:tr>
      <w:tr>
        <w:tc>
          <w:tcPr>
            <w:tcW w:type="dxa" w:w="2551"/>
            <w:shd w:fill="F8FAFC" w:val="clear"/>
          </w:tcPr>
          <w:p>
            <w:r>
              <w:rPr>
                <w:b/>
                <w:color w:val="1E293B"/>
                <w:sz w:val="16"/>
              </w:rPr>
              <w:t>Rifampicin</w:t>
            </w:r>
          </w:p>
        </w:tc>
        <w:tc>
          <w:tcPr>
            <w:tcW w:type="dxa" w:w="2551"/>
            <w:shd w:fill="F8FAFC" w:val="clear"/>
          </w:tcPr>
          <w:p>
            <w:r>
              <w:rPr>
                <w:color w:val="334155"/>
                <w:sz w:val="16"/>
              </w:rPr>
              <w:t>CYP3A4 induction</w:t>
            </w:r>
          </w:p>
        </w:tc>
        <w:tc>
          <w:tcPr>
            <w:tcW w:type="dxa" w:w="3969"/>
            <w:shd w:fill="F8FAFC" w:val="clear"/>
          </w:tcPr>
          <w:p>
            <w:r>
              <w:rPr>
                <w:color w:val="334155"/>
                <w:sz w:val="16"/>
              </w:rPr>
              <w:t>Reduced CBD levels</w:t>
            </w:r>
          </w:p>
        </w:tc>
        <w:tc>
          <w:tcPr>
            <w:tcW w:type="dxa" w:w="1134"/>
            <w:shd w:fill="FFFBEB" w:val="clear"/>
          </w:tcPr>
          <w:p>
            <w:pPr>
              <w:jc w:val="center"/>
            </w:pPr>
            <w:r>
              <w:rPr>
                <w:b/>
                <w:color w:val="B45309"/>
                <w:sz w:val="16"/>
              </w:rPr>
              <w:t>AMBER</w:t>
            </w:r>
          </w:p>
        </w:tc>
        <w:tc>
          <w:tcPr>
            <w:tcW w:type="dxa" w:w="4819"/>
            <w:shd w:fill="F8FAFC" w:val="clear"/>
          </w:tcPr>
          <w:p>
            <w:r>
              <w:rPr>
                <w:color w:val="334155"/>
                <w:sz w:val="16"/>
              </w:rPr>
              <w:t>CBD efficacy may be reduced. Consider dose increase or alternative.</w:t>
            </w:r>
          </w:p>
        </w:tc>
      </w:tr>
    </w:tbl>
    <w:p/>
    <w:p>
      <w:r>
        <w:rPr>
          <w:b/>
          <w:i w:val="0"/>
          <w:color w:val="B45309"/>
          <w:sz w:val="22"/>
        </w:rPr>
        <w:t>THC Pharmacokinetic Interactions (CYP3A4 Substrate)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028"/>
        <w:gridCol w:w="3028"/>
        <w:gridCol w:w="3028"/>
        <w:gridCol w:w="3028"/>
        <w:gridCol w:w="3028"/>
      </w:tblGrid>
      <w:tr>
        <w:tc>
          <w:tcPr>
            <w:tcW w:type="dxa" w:w="2551"/>
            <w:shd w:fill="B45309" w:val="clear"/>
          </w:tcPr>
          <w:p>
            <w:r>
              <w:rPr>
                <w:b/>
                <w:color w:val="FFFFFF"/>
                <w:sz w:val="16"/>
              </w:rPr>
              <w:t>Interacting Drug/Class</w:t>
            </w:r>
          </w:p>
        </w:tc>
        <w:tc>
          <w:tcPr>
            <w:tcW w:type="dxa" w:w="2551"/>
            <w:shd w:fill="B45309" w:val="clear"/>
          </w:tcPr>
          <w:p>
            <w:r>
              <w:rPr>
                <w:b/>
                <w:color w:val="FFFFFF"/>
                <w:sz w:val="16"/>
              </w:rPr>
              <w:t>Mechanism</w:t>
            </w:r>
          </w:p>
        </w:tc>
        <w:tc>
          <w:tcPr>
            <w:tcW w:type="dxa" w:w="3969"/>
            <w:shd w:fill="B45309" w:val="clear"/>
          </w:tcPr>
          <w:p>
            <w:r>
              <w:rPr>
                <w:b/>
                <w:color w:val="FFFFFF"/>
                <w:sz w:val="16"/>
              </w:rPr>
              <w:t>Clinical Effect</w:t>
            </w:r>
          </w:p>
        </w:tc>
        <w:tc>
          <w:tcPr>
            <w:tcW w:type="dxa" w:w="1134"/>
            <w:shd w:fill="B45309" w:val="clear"/>
          </w:tcPr>
          <w:p>
            <w:r>
              <w:rPr>
                <w:b/>
                <w:color w:val="FFFFFF"/>
                <w:sz w:val="16"/>
              </w:rPr>
              <w:t>Severity</w:t>
            </w:r>
          </w:p>
        </w:tc>
        <w:tc>
          <w:tcPr>
            <w:tcW w:type="dxa" w:w="4819"/>
            <w:shd w:fill="B45309" w:val="clear"/>
          </w:tcPr>
          <w:p>
            <w:r>
              <w:rPr>
                <w:b/>
                <w:color w:val="FFFFFF"/>
                <w:sz w:val="16"/>
              </w:rPr>
              <w:t>Action Required</w:t>
            </w:r>
          </w:p>
        </w:tc>
      </w:tr>
      <w:tr>
        <w:tc>
          <w:tcPr>
            <w:tcW w:type="dxa" w:w="2551"/>
          </w:tcPr>
          <w:p>
            <w:r>
              <w:rPr>
                <w:b/>
                <w:color w:val="1E293B"/>
                <w:sz w:val="16"/>
              </w:rPr>
              <w:t>Ketoconazole / ritonavir</w:t>
            </w:r>
          </w:p>
        </w:tc>
        <w:tc>
          <w:tcPr>
            <w:tcW w:type="dxa" w:w="2551"/>
          </w:tcPr>
          <w:p>
            <w:r>
              <w:rPr>
                <w:color w:val="334155"/>
                <w:sz w:val="16"/>
              </w:rPr>
              <w:t>CYP3A4 inhibition</w:t>
            </w:r>
          </w:p>
        </w:tc>
        <w:tc>
          <w:tcPr>
            <w:tcW w:type="dxa" w:w="3969"/>
          </w:tcPr>
          <w:p>
            <w:r>
              <w:rPr>
                <w:color w:val="334155"/>
                <w:sz w:val="16"/>
              </w:rPr>
              <w:t>Increased THC exposure; enhanced CNS effects</w:t>
            </w:r>
          </w:p>
        </w:tc>
        <w:tc>
          <w:tcPr>
            <w:tcW w:type="dxa" w:w="1134"/>
            <w:shd w:fill="FEF2F2" w:val="clear"/>
          </w:tcPr>
          <w:p>
            <w:pPr>
              <w:jc w:val="center"/>
            </w:pPr>
            <w:r>
              <w:rPr>
                <w:b/>
                <w:color w:val="DC2626"/>
                <w:sz w:val="16"/>
              </w:rPr>
              <w:t>RED</w:t>
            </w:r>
          </w:p>
        </w:tc>
        <w:tc>
          <w:tcPr>
            <w:tcW w:type="dxa" w:w="4819"/>
          </w:tcPr>
          <w:p>
            <w:r>
              <w:rPr>
                <w:color w:val="334155"/>
                <w:sz w:val="16"/>
              </w:rPr>
              <w:t>Avoid combination or reduce THC dose significantly. Monitor CNS effects.</w:t>
            </w:r>
          </w:p>
        </w:tc>
      </w:tr>
      <w:tr>
        <w:tc>
          <w:tcPr>
            <w:tcW w:type="dxa" w:w="2551"/>
            <w:shd w:fill="F8FAFC" w:val="clear"/>
          </w:tcPr>
          <w:p>
            <w:r>
              <w:rPr>
                <w:b/>
                <w:color w:val="1E293B"/>
                <w:sz w:val="16"/>
              </w:rPr>
              <w:t>Clarithromycin / erythromycin</w:t>
            </w:r>
          </w:p>
        </w:tc>
        <w:tc>
          <w:tcPr>
            <w:tcW w:type="dxa" w:w="2551"/>
            <w:shd w:fill="F8FAFC" w:val="clear"/>
          </w:tcPr>
          <w:p>
            <w:r>
              <w:rPr>
                <w:color w:val="334155"/>
                <w:sz w:val="16"/>
              </w:rPr>
              <w:t>CYP3A4 inhibition</w:t>
            </w:r>
          </w:p>
        </w:tc>
        <w:tc>
          <w:tcPr>
            <w:tcW w:type="dxa" w:w="3969"/>
            <w:shd w:fill="F8FAFC" w:val="clear"/>
          </w:tcPr>
          <w:p>
            <w:r>
              <w:rPr>
                <w:color w:val="334155"/>
                <w:sz w:val="16"/>
              </w:rPr>
              <w:t>Increased THC levels</w:t>
            </w:r>
          </w:p>
        </w:tc>
        <w:tc>
          <w:tcPr>
            <w:tcW w:type="dxa" w:w="1134"/>
            <w:shd w:fill="FFFBEB" w:val="clear"/>
          </w:tcPr>
          <w:p>
            <w:pPr>
              <w:jc w:val="center"/>
            </w:pPr>
            <w:r>
              <w:rPr>
                <w:b/>
                <w:color w:val="B45309"/>
                <w:sz w:val="16"/>
              </w:rPr>
              <w:t>AMBER</w:t>
            </w:r>
          </w:p>
        </w:tc>
        <w:tc>
          <w:tcPr>
            <w:tcW w:type="dxa" w:w="4819"/>
            <w:shd w:fill="F8FAFC" w:val="clear"/>
          </w:tcPr>
          <w:p>
            <w:r>
              <w:rPr>
                <w:color w:val="334155"/>
                <w:sz w:val="16"/>
              </w:rPr>
              <w:t>Monitor for increased psychoactive effects. Consider dose reduction.</w:t>
            </w:r>
          </w:p>
        </w:tc>
      </w:tr>
      <w:tr>
        <w:tc>
          <w:tcPr>
            <w:tcW w:type="dxa" w:w="2551"/>
          </w:tcPr>
          <w:p>
            <w:r>
              <w:rPr>
                <w:b/>
                <w:color w:val="1E293B"/>
                <w:sz w:val="16"/>
              </w:rPr>
              <w:t>Rifampicin</w:t>
            </w:r>
          </w:p>
        </w:tc>
        <w:tc>
          <w:tcPr>
            <w:tcW w:type="dxa" w:w="2551"/>
          </w:tcPr>
          <w:p>
            <w:r>
              <w:rPr>
                <w:color w:val="334155"/>
                <w:sz w:val="16"/>
              </w:rPr>
              <w:t>CYP3A4 induction</w:t>
            </w:r>
          </w:p>
        </w:tc>
        <w:tc>
          <w:tcPr>
            <w:tcW w:type="dxa" w:w="3969"/>
          </w:tcPr>
          <w:p>
            <w:r>
              <w:rPr>
                <w:color w:val="334155"/>
                <w:sz w:val="16"/>
              </w:rPr>
              <w:t>Reduced THC levels; loss of efficacy</w:t>
            </w:r>
          </w:p>
        </w:tc>
        <w:tc>
          <w:tcPr>
            <w:tcW w:type="dxa" w:w="1134"/>
            <w:shd w:fill="FFFBEB" w:val="clear"/>
          </w:tcPr>
          <w:p>
            <w:pPr>
              <w:jc w:val="center"/>
            </w:pPr>
            <w:r>
              <w:rPr>
                <w:b/>
                <w:color w:val="B45309"/>
                <w:sz w:val="16"/>
              </w:rPr>
              <w:t>AMBER</w:t>
            </w:r>
          </w:p>
        </w:tc>
        <w:tc>
          <w:tcPr>
            <w:tcW w:type="dxa" w:w="4819"/>
          </w:tcPr>
          <w:p>
            <w:r>
              <w:rPr>
                <w:color w:val="334155"/>
                <w:sz w:val="16"/>
              </w:rPr>
              <w:t>THC efficacy may be significantly reduced. Consider alternative.</w:t>
            </w:r>
          </w:p>
        </w:tc>
      </w:tr>
      <w:tr>
        <w:tc>
          <w:tcPr>
            <w:tcW w:type="dxa" w:w="2551"/>
            <w:shd w:fill="F8FAFC" w:val="clear"/>
          </w:tcPr>
          <w:p>
            <w:r>
              <w:rPr>
                <w:b/>
                <w:color w:val="1E293B"/>
                <w:sz w:val="16"/>
              </w:rPr>
              <w:t>Carbamazepine / phenytoin</w:t>
            </w:r>
          </w:p>
        </w:tc>
        <w:tc>
          <w:tcPr>
            <w:tcW w:type="dxa" w:w="2551"/>
            <w:shd w:fill="F8FAFC" w:val="clear"/>
          </w:tcPr>
          <w:p>
            <w:r>
              <w:rPr>
                <w:color w:val="334155"/>
                <w:sz w:val="16"/>
              </w:rPr>
              <w:t>CYP3A4 induction</w:t>
            </w:r>
          </w:p>
        </w:tc>
        <w:tc>
          <w:tcPr>
            <w:tcW w:type="dxa" w:w="3969"/>
            <w:shd w:fill="F8FAFC" w:val="clear"/>
          </w:tcPr>
          <w:p>
            <w:r>
              <w:rPr>
                <w:color w:val="334155"/>
                <w:sz w:val="16"/>
              </w:rPr>
              <w:t>Reduced THC levels</w:t>
            </w:r>
          </w:p>
        </w:tc>
        <w:tc>
          <w:tcPr>
            <w:tcW w:type="dxa" w:w="1134"/>
            <w:shd w:fill="FFFBEB" w:val="clear"/>
          </w:tcPr>
          <w:p>
            <w:pPr>
              <w:jc w:val="center"/>
            </w:pPr>
            <w:r>
              <w:rPr>
                <w:b/>
                <w:color w:val="B45309"/>
                <w:sz w:val="16"/>
              </w:rPr>
              <w:t>AMBER</w:t>
            </w:r>
          </w:p>
        </w:tc>
        <w:tc>
          <w:tcPr>
            <w:tcW w:type="dxa" w:w="4819"/>
            <w:shd w:fill="F8FAFC" w:val="clear"/>
          </w:tcPr>
          <w:p>
            <w:r>
              <w:rPr>
                <w:color w:val="334155"/>
                <w:sz w:val="16"/>
              </w:rPr>
              <w:t>Monitor for reduced efficacy. Dose adjustment may be needed.</w:t>
            </w:r>
          </w:p>
        </w:tc>
      </w:tr>
      <w:tr>
        <w:tc>
          <w:tcPr>
            <w:tcW w:type="dxa" w:w="2551"/>
          </w:tcPr>
          <w:p>
            <w:r>
              <w:rPr>
                <w:b/>
                <w:color w:val="1E293B"/>
                <w:sz w:val="16"/>
              </w:rPr>
              <w:t>Warfarin</w:t>
            </w:r>
          </w:p>
        </w:tc>
        <w:tc>
          <w:tcPr>
            <w:tcW w:type="dxa" w:w="2551"/>
          </w:tcPr>
          <w:p>
            <w:r>
              <w:rPr>
                <w:color w:val="334155"/>
                <w:sz w:val="16"/>
              </w:rPr>
              <w:t>Unknown (possibly CYP-mediated)</w:t>
            </w:r>
          </w:p>
        </w:tc>
        <w:tc>
          <w:tcPr>
            <w:tcW w:type="dxa" w:w="3969"/>
          </w:tcPr>
          <w:p>
            <w:r>
              <w:rPr>
                <w:color w:val="334155"/>
                <w:sz w:val="16"/>
              </w:rPr>
              <w:t>Increased INR</w:t>
            </w:r>
          </w:p>
        </w:tc>
        <w:tc>
          <w:tcPr>
            <w:tcW w:type="dxa" w:w="1134"/>
            <w:shd w:fill="FEF2F2" w:val="clear"/>
          </w:tcPr>
          <w:p>
            <w:pPr>
              <w:jc w:val="center"/>
            </w:pPr>
            <w:r>
              <w:rPr>
                <w:b/>
                <w:color w:val="DC2626"/>
                <w:sz w:val="16"/>
              </w:rPr>
              <w:t>RED</w:t>
            </w:r>
          </w:p>
        </w:tc>
        <w:tc>
          <w:tcPr>
            <w:tcW w:type="dxa" w:w="4819"/>
          </w:tcPr>
          <w:p>
            <w:r>
              <w:rPr>
                <w:color w:val="334155"/>
                <w:sz w:val="16"/>
              </w:rPr>
              <w:t>Close INR monitoring. Enhanced anticoagulant effect documented.</w:t>
            </w:r>
          </w:p>
        </w:tc>
      </w:tr>
      <w:tr>
        <w:tc>
          <w:tcPr>
            <w:tcW w:type="dxa" w:w="2551"/>
            <w:shd w:fill="F8FAFC" w:val="clear"/>
          </w:tcPr>
          <w:p>
            <w:r>
              <w:rPr>
                <w:b/>
                <w:color w:val="1E293B"/>
                <w:sz w:val="16"/>
              </w:rPr>
              <w:t>Opioids</w:t>
            </w:r>
          </w:p>
        </w:tc>
        <w:tc>
          <w:tcPr>
            <w:tcW w:type="dxa" w:w="2551"/>
            <w:shd w:fill="F8FAFC" w:val="clear"/>
          </w:tcPr>
          <w:p>
            <w:r>
              <w:rPr>
                <w:color w:val="334155"/>
                <w:sz w:val="16"/>
              </w:rPr>
              <w:t>Pharmacodynamic</w:t>
            </w:r>
          </w:p>
        </w:tc>
        <w:tc>
          <w:tcPr>
            <w:tcW w:type="dxa" w:w="3969"/>
            <w:shd w:fill="F8FAFC" w:val="clear"/>
          </w:tcPr>
          <w:p>
            <w:r>
              <w:rPr>
                <w:color w:val="334155"/>
                <w:sz w:val="16"/>
              </w:rPr>
              <w:t>Additive sedation and respiratory depression</w:t>
            </w:r>
          </w:p>
        </w:tc>
        <w:tc>
          <w:tcPr>
            <w:tcW w:type="dxa" w:w="1134"/>
            <w:shd w:fill="FEF2F2" w:val="clear"/>
          </w:tcPr>
          <w:p>
            <w:pPr>
              <w:jc w:val="center"/>
            </w:pPr>
            <w:r>
              <w:rPr>
                <w:b/>
                <w:color w:val="DC2626"/>
                <w:sz w:val="16"/>
              </w:rPr>
              <w:t>RED</w:t>
            </w:r>
          </w:p>
        </w:tc>
        <w:tc>
          <w:tcPr>
            <w:tcW w:type="dxa" w:w="4819"/>
            <w:shd w:fill="F8FAFC" w:val="clear"/>
          </w:tcPr>
          <w:p>
            <w:r>
              <w:rPr>
                <w:color w:val="334155"/>
                <w:sz w:val="16"/>
              </w:rPr>
              <w:t>Reduce opioid dose. Monitor respiratory function. Patient counselling.</w:t>
            </w:r>
          </w:p>
        </w:tc>
      </w:tr>
      <w:tr>
        <w:tc>
          <w:tcPr>
            <w:tcW w:type="dxa" w:w="2551"/>
          </w:tcPr>
          <w:p>
            <w:r>
              <w:rPr>
                <w:b/>
                <w:color w:val="1E293B"/>
                <w:sz w:val="16"/>
              </w:rPr>
              <w:t>Benzodiazepines / gabapentinoids</w:t>
            </w:r>
          </w:p>
        </w:tc>
        <w:tc>
          <w:tcPr>
            <w:tcW w:type="dxa" w:w="2551"/>
          </w:tcPr>
          <w:p>
            <w:r>
              <w:rPr>
                <w:color w:val="334155"/>
                <w:sz w:val="16"/>
              </w:rPr>
              <w:t>Pharmacodynamic</w:t>
            </w:r>
          </w:p>
        </w:tc>
        <w:tc>
          <w:tcPr>
            <w:tcW w:type="dxa" w:w="3969"/>
          </w:tcPr>
          <w:p>
            <w:r>
              <w:rPr>
                <w:color w:val="334155"/>
                <w:sz w:val="16"/>
              </w:rPr>
              <w:t>Additive CNS depression</w:t>
            </w:r>
          </w:p>
        </w:tc>
        <w:tc>
          <w:tcPr>
            <w:tcW w:type="dxa" w:w="1134"/>
            <w:shd w:fill="FEF2F2" w:val="clear"/>
          </w:tcPr>
          <w:p>
            <w:pPr>
              <w:jc w:val="center"/>
            </w:pPr>
            <w:r>
              <w:rPr>
                <w:b/>
                <w:color w:val="DC2626"/>
                <w:sz w:val="16"/>
              </w:rPr>
              <w:t>RED</w:t>
            </w:r>
          </w:p>
        </w:tc>
        <w:tc>
          <w:tcPr>
            <w:tcW w:type="dxa" w:w="4819"/>
          </w:tcPr>
          <w:p>
            <w:r>
              <w:rPr>
                <w:color w:val="334155"/>
                <w:sz w:val="16"/>
              </w:rPr>
              <w:t>Dose reduction of CNS depressant. Monitor sedation and falls risk.</w:t>
            </w:r>
          </w:p>
        </w:tc>
      </w:tr>
      <w:tr>
        <w:tc>
          <w:tcPr>
            <w:tcW w:type="dxa" w:w="2551"/>
            <w:shd w:fill="F8FAFC" w:val="clear"/>
          </w:tcPr>
          <w:p>
            <w:r>
              <w:rPr>
                <w:b/>
                <w:color w:val="1E293B"/>
                <w:sz w:val="16"/>
              </w:rPr>
              <w:t>Alcohol</w:t>
            </w:r>
          </w:p>
        </w:tc>
        <w:tc>
          <w:tcPr>
            <w:tcW w:type="dxa" w:w="2551"/>
            <w:shd w:fill="F8FAFC" w:val="clear"/>
          </w:tcPr>
          <w:p>
            <w:r>
              <w:rPr>
                <w:color w:val="334155"/>
                <w:sz w:val="16"/>
              </w:rPr>
              <w:t>Pharmacodynamic</w:t>
            </w:r>
          </w:p>
        </w:tc>
        <w:tc>
          <w:tcPr>
            <w:tcW w:type="dxa" w:w="3969"/>
            <w:shd w:fill="F8FAFC" w:val="clear"/>
          </w:tcPr>
          <w:p>
            <w:r>
              <w:rPr>
                <w:color w:val="334155"/>
                <w:sz w:val="16"/>
              </w:rPr>
              <w:t>Additive impairment; increased THC absorption</w:t>
            </w:r>
          </w:p>
        </w:tc>
        <w:tc>
          <w:tcPr>
            <w:tcW w:type="dxa" w:w="1134"/>
            <w:shd w:fill="FEF2F2" w:val="clear"/>
          </w:tcPr>
          <w:p>
            <w:pPr>
              <w:jc w:val="center"/>
            </w:pPr>
            <w:r>
              <w:rPr>
                <w:b/>
                <w:color w:val="DC2626"/>
                <w:sz w:val="16"/>
              </w:rPr>
              <w:t>RED</w:t>
            </w:r>
          </w:p>
        </w:tc>
        <w:tc>
          <w:tcPr>
            <w:tcW w:type="dxa" w:w="4819"/>
            <w:shd w:fill="F8FAFC" w:val="clear"/>
          </w:tcPr>
          <w:p>
            <w:r>
              <w:rPr>
                <w:color w:val="334155"/>
                <w:sz w:val="16"/>
              </w:rPr>
              <w:t>Advise abstinence or strict moderation. Driving risk.</w:t>
            </w:r>
          </w:p>
        </w:tc>
      </w:tr>
      <w:tr>
        <w:tc>
          <w:tcPr>
            <w:tcW w:type="dxa" w:w="2551"/>
          </w:tcPr>
          <w:p>
            <w:r>
              <w:rPr>
                <w:b/>
                <w:color w:val="1E293B"/>
                <w:sz w:val="16"/>
              </w:rPr>
              <w:t>Sympathomimetics</w:t>
            </w:r>
          </w:p>
        </w:tc>
        <w:tc>
          <w:tcPr>
            <w:tcW w:type="dxa" w:w="2551"/>
          </w:tcPr>
          <w:p>
            <w:r>
              <w:rPr>
                <w:color w:val="334155"/>
                <w:sz w:val="16"/>
              </w:rPr>
              <w:t>Pharmacodynamic</w:t>
            </w:r>
          </w:p>
        </w:tc>
        <w:tc>
          <w:tcPr>
            <w:tcW w:type="dxa" w:w="3969"/>
          </w:tcPr>
          <w:p>
            <w:r>
              <w:rPr>
                <w:color w:val="334155"/>
                <w:sz w:val="16"/>
              </w:rPr>
              <w:t>Additive tachycardia and hypertension</w:t>
            </w:r>
          </w:p>
        </w:tc>
        <w:tc>
          <w:tcPr>
            <w:tcW w:type="dxa" w:w="1134"/>
            <w:shd w:fill="FFFBEB" w:val="clear"/>
          </w:tcPr>
          <w:p>
            <w:pPr>
              <w:jc w:val="center"/>
            </w:pPr>
            <w:r>
              <w:rPr>
                <w:b/>
                <w:color w:val="B45309"/>
                <w:sz w:val="16"/>
              </w:rPr>
              <w:t>AMBER</w:t>
            </w:r>
          </w:p>
        </w:tc>
        <w:tc>
          <w:tcPr>
            <w:tcW w:type="dxa" w:w="4819"/>
          </w:tcPr>
          <w:p>
            <w:r>
              <w:rPr>
                <w:color w:val="334155"/>
                <w:sz w:val="16"/>
              </w:rPr>
              <w:t>Caution in cardiovascular-risk patients. Monitor HR and BP.</w:t>
            </w:r>
          </w:p>
        </w:tc>
      </w:tr>
    </w:tbl>
    <w:p/>
    <w:p>
      <w:pPr>
        <w:jc w:val="center"/>
      </w:pPr>
      <w:r>
        <w:rPr>
          <w:b w:val="0"/>
          <w:i/>
          <w:color w:val="94A3B8"/>
          <w:sz w:val="16"/>
        </w:rPr>
        <w:t xml:space="preserve">This quick-reference card is non-promotional and does not constitute medical advice. </w:t>
      </w:r>
      <w:r>
        <w:rPr>
          <w:b w:val="0"/>
          <w:i/>
          <w:color w:val="94A3B8"/>
          <w:sz w:val="16"/>
        </w:rPr>
        <w:t xml:space="preserve">All interactions require independent verification. </w:t>
      </w:r>
      <w:r>
        <w:rPr>
          <w:b w:val="0"/>
          <w:i/>
          <w:color w:val="94A3B8"/>
          <w:sz w:val="16"/>
        </w:rPr>
        <w:t>Report adverse events via MHRA Yellow Card.</w:t>
      </w:r>
    </w:p>
    <w:p>
      <w:pPr>
        <w:jc w:val="center"/>
      </w:pPr>
      <w:r>
        <w:rPr>
          <w:b w:val="0"/>
          <w:i/>
          <w:color w:val="CBD5E1"/>
          <w:sz w:val="14"/>
        </w:rPr>
        <w:t>Sources: Epidyolex SmPC, Sativex SmPC, Cesamet SmPC, Whiting 2015, BNF Interactions Checker.</w:t>
      </w:r>
    </w:p>
    <w:sectPr w:rsidR="00FC693F" w:rsidRPr="0006063C" w:rsidSect="00034616">
      <w:pgSz w:w="16838" w:h="11906"/>
      <w:pgMar w:top="680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4155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